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332" w:rsidRDefault="00054332" w:rsidP="00C6215D">
      <w:pPr>
        <w:pStyle w:val="ac"/>
        <w:spacing w:before="312" w:afterLines="100"/>
      </w:pPr>
      <w:r>
        <w:t>Advanced Frozen Permeability Technique and Applications in Developing High Performance Electrical Machines</w:t>
      </w:r>
    </w:p>
    <w:p w:rsidR="00054332" w:rsidRDefault="00054332" w:rsidP="00054332">
      <w:pPr>
        <w:jc w:val="center"/>
        <w:rPr>
          <w:i/>
          <w:iCs/>
          <w:color w:val="000000"/>
        </w:rPr>
      </w:pPr>
      <w:r>
        <w:rPr>
          <w:rFonts w:hint="eastAsia"/>
          <w:i/>
          <w:iCs/>
          <w:color w:val="000000"/>
        </w:rPr>
        <w:t>作者姓名（英文）</w:t>
      </w:r>
      <w:r>
        <w:rPr>
          <w:rFonts w:hint="eastAsia"/>
          <w:i/>
          <w:iCs/>
          <w:color w:val="000000"/>
        </w:rPr>
        <w:t xml:space="preserve"> </w:t>
      </w:r>
      <w:r>
        <w:rPr>
          <w:i/>
          <w:iCs/>
          <w:color w:val="000000"/>
        </w:rPr>
        <w:t xml:space="preserve">   </w:t>
      </w:r>
      <w:r>
        <w:rPr>
          <w:rFonts w:hint="eastAsia"/>
          <w:i/>
          <w:iCs/>
          <w:color w:val="000000"/>
        </w:rPr>
        <w:t xml:space="preserve">  </w:t>
      </w:r>
    </w:p>
    <w:p w:rsidR="00054332" w:rsidRDefault="00054332" w:rsidP="00054332">
      <w:pPr>
        <w:jc w:val="center"/>
        <w:rPr>
          <w:color w:val="000000"/>
        </w:rPr>
      </w:pPr>
      <w:r>
        <w:rPr>
          <w:rFonts w:hint="eastAsia"/>
          <w:color w:val="000000"/>
        </w:rPr>
        <w:t>（作者单位（英文））</w:t>
      </w:r>
    </w:p>
    <w:p w:rsidR="00054332" w:rsidRDefault="00054332" w:rsidP="00054332">
      <w:pPr>
        <w:jc w:val="center"/>
        <w:rPr>
          <w:color w:val="000000"/>
        </w:rPr>
      </w:pPr>
    </w:p>
    <w:p w:rsidR="00054332" w:rsidRDefault="00054332" w:rsidP="00054332">
      <w:pPr>
        <w:ind w:leftChars="200" w:left="424" w:rightChars="200" w:right="424" w:firstLine="416"/>
        <w:rPr>
          <w:color w:val="000000"/>
        </w:rPr>
      </w:pPr>
      <w:proofErr w:type="gramStart"/>
      <w:r>
        <w:rPr>
          <w:b/>
          <w:bCs/>
          <w:color w:val="000000"/>
        </w:rPr>
        <w:t>Abstract</w:t>
      </w:r>
      <w:r>
        <w:rPr>
          <w:rFonts w:hint="eastAsia"/>
          <w:b/>
          <w:bCs/>
          <w:color w:val="000000"/>
        </w:rPr>
        <w:t xml:space="preserve"> </w:t>
      </w:r>
      <w:r>
        <w:rPr>
          <w:color w:val="000000"/>
        </w:rPr>
        <w:t xml:space="preserve"> Magnetic</w:t>
      </w:r>
      <w:proofErr w:type="gramEnd"/>
      <w:r>
        <w:rPr>
          <w:color w:val="000000"/>
        </w:rPr>
        <w:t xml:space="preserve"> saturation is one of the major challenges for all electrical machines and makes it much more difficult to design high performance electrical machines. Frozen permeability (FP) technique has recently been developed to predict the on-load components of electromagnetic qualities while considering the influence of magnetic saturation. In this paper, the FP technique and its applications in various electrical machines are comprehensively reviewed. It shows that the FP technique is able to accurately separate </w:t>
      </w:r>
      <w:proofErr w:type="spellStart"/>
      <w:r>
        <w:rPr>
          <w:color w:val="000000"/>
        </w:rPr>
        <w:t>on</w:t>
      </w:r>
      <w:proofErr w:type="spellEnd"/>
      <w:r>
        <w:rPr>
          <w:color w:val="000000"/>
        </w:rPr>
        <w:t xml:space="preserve">-load magnetic field, flux linkage, and inductance components in all types of electrical machines. These on-load field components and parameters can be further utilized to investigate various </w:t>
      </w:r>
      <w:proofErr w:type="spellStart"/>
      <w:r>
        <w:rPr>
          <w:color w:val="000000"/>
        </w:rPr>
        <w:t>on</w:t>
      </w:r>
      <w:proofErr w:type="spellEnd"/>
      <w:r>
        <w:rPr>
          <w:color w:val="000000"/>
        </w:rPr>
        <w:t>-load performance, such as on-load torque and torque ripple components, on-load back EMFs and voltages, flux weakening performance, radial force distribution, et al. The accurate on-load parameters can also be used to improve the machine models and controls. Hence, FP technique provides a holistic approach to the development of high performance electrical machines.</w:t>
      </w:r>
    </w:p>
    <w:p w:rsidR="00054332" w:rsidRDefault="00054332" w:rsidP="00C6215D">
      <w:pPr>
        <w:spacing w:afterLines="50"/>
        <w:ind w:leftChars="200" w:left="424" w:rightChars="200" w:right="424" w:firstLine="414"/>
        <w:rPr>
          <w:color w:val="000000"/>
        </w:rPr>
      </w:pPr>
      <w:r>
        <w:rPr>
          <w:b/>
          <w:bCs/>
          <w:color w:val="000000"/>
        </w:rPr>
        <w:t>Keywords:</w:t>
      </w:r>
      <w:r>
        <w:rPr>
          <w:color w:val="000000"/>
        </w:rPr>
        <w:t xml:space="preserve"> Electrical machines, frozen permeability, on-load performance, permanent magnet</w:t>
      </w:r>
    </w:p>
    <w:p w:rsidR="00054332" w:rsidRDefault="00054332" w:rsidP="00054332">
      <w:pPr>
        <w:ind w:rightChars="200" w:right="424"/>
        <w:rPr>
          <w:color w:val="000000"/>
        </w:rPr>
        <w:sectPr w:rsidR="00054332" w:rsidSect="00054332">
          <w:headerReference w:type="even" r:id="rId7"/>
          <w:headerReference w:type="default" r:id="rId8"/>
          <w:headerReference w:type="first" r:id="rId9"/>
          <w:pgSz w:w="11907" w:h="16160" w:code="9"/>
          <w:pgMar w:top="1474" w:right="1077" w:bottom="851" w:left="1077" w:header="680" w:footer="680" w:gutter="0"/>
          <w:pgNumType w:start="11"/>
          <w:cols w:space="425"/>
          <w:titlePg/>
          <w:docGrid w:type="lines" w:linePitch="312"/>
        </w:sectPr>
      </w:pPr>
    </w:p>
    <w:p w:rsidR="00054332" w:rsidRDefault="00054332" w:rsidP="00054332">
      <w:pPr>
        <w:pStyle w:val="3"/>
      </w:pPr>
      <w:proofErr w:type="gramStart"/>
      <w:r>
        <w:rPr>
          <w:rFonts w:hint="eastAsia"/>
        </w:rPr>
        <w:lastRenderedPageBreak/>
        <w:t>0</w:t>
      </w:r>
      <w:r>
        <w:t xml:space="preserve">  Introduction</w:t>
      </w:r>
      <w:proofErr w:type="gramEnd"/>
    </w:p>
    <w:p w:rsidR="00054332" w:rsidRDefault="00054332" w:rsidP="00054332">
      <w:pPr>
        <w:ind w:firstLineChars="200" w:firstLine="424"/>
      </w:pPr>
      <w:r>
        <w:rPr>
          <w:lang w:val="en-GB"/>
        </w:rPr>
        <w:t xml:space="preserve">Due to </w:t>
      </w:r>
      <w:r>
        <w:t xml:space="preserve">global energy security and environmental concerns, </w:t>
      </w:r>
      <w:r>
        <w:rPr>
          <w:lang w:val="en-GB"/>
        </w:rPr>
        <w:t>significant efforts have been made on exploiting renewable and sustainable resources of energy, such as wind power, solar power, and tidal power, etc. Electrical machines and drives represent one of the key enabling technologies for exploiting these energy resources. Meanwhile</w:t>
      </w:r>
      <w:r>
        <w:rPr>
          <w:rFonts w:hint="eastAsia"/>
          <w:lang w:val="en-GB"/>
        </w:rPr>
        <w:t>,</w:t>
      </w:r>
      <w:r>
        <w:rPr>
          <w:lang w:val="en-GB"/>
        </w:rPr>
        <w:t xml:space="preserve"> electrical drives also exhibit the advantages of high efficiency, fast response and accuracy. These advantages coupled with recent advances in computational capabilities and power electronics have accelerated the pace of replacing conventional mechanical, hydraulic, or pneumatic propulsion and transmission systems by </w:t>
      </w:r>
      <w:r>
        <w:rPr>
          <w:lang w:val="en-GB"/>
        </w:rPr>
        <w:lastRenderedPageBreak/>
        <w:t xml:space="preserve">electrical systems for various </w:t>
      </w:r>
      <w:proofErr w:type="gramStart"/>
      <w:r>
        <w:rPr>
          <w:lang w:val="en-GB"/>
        </w:rPr>
        <w:t>applications</w:t>
      </w:r>
      <w:r>
        <w:rPr>
          <w:vertAlign w:val="superscript"/>
          <w:lang w:val="en-GB"/>
        </w:rPr>
        <w:t>[</w:t>
      </w:r>
      <w:proofErr w:type="gramEnd"/>
      <w:r>
        <w:rPr>
          <w:vertAlign w:val="superscript"/>
          <w:lang w:val="en-GB"/>
        </w:rPr>
        <w:t>1</w:t>
      </w:r>
      <w:r>
        <w:rPr>
          <w:rFonts w:hint="eastAsia"/>
          <w:vertAlign w:val="superscript"/>
          <w:lang w:val="en-GB"/>
        </w:rPr>
        <w:t>-</w:t>
      </w:r>
      <w:r>
        <w:rPr>
          <w:vertAlign w:val="superscript"/>
          <w:lang w:val="en-GB"/>
        </w:rPr>
        <w:t>4]</w:t>
      </w:r>
      <w:r>
        <w:rPr>
          <w:rFonts w:hint="eastAsia"/>
          <w:lang w:val="en-GB"/>
        </w:rPr>
        <w:t>.</w:t>
      </w:r>
    </w:p>
    <w:p w:rsidR="00054332" w:rsidRDefault="005311D5" w:rsidP="00054332">
      <w:pPr>
        <w:ind w:firstLineChars="200" w:firstLine="400"/>
        <w:rPr>
          <w:lang w:val="en-GB"/>
        </w:rPr>
      </w:pPr>
      <w:r w:rsidRPr="005311D5">
        <w:rPr>
          <w:noProof/>
          <w:color w:val="000000"/>
        </w:rPr>
        <w:pict>
          <v:shapetype id="_x0000_t202" coordsize="21600,21600" o:spt="202" path="m,l,21600r21600,l21600,xe">
            <v:stroke joinstyle="miter"/>
            <v:path gradientshapeok="t" o:connecttype="rect"/>
          </v:shapetype>
          <v:shape id="_x0000_s1026" type="#_x0000_t202" style="position:absolute;left:0;text-align:left;margin-left:.3pt;margin-top:-10.5pt;width:229.5pt;height:84.1pt;z-index:251660288" filled="f" stroked="f">
            <v:textbox style="mso-next-textbox:#_x0000_s1026" inset="0,0,0,0">
              <w:txbxContent>
                <w:p w:rsidR="00054332" w:rsidRDefault="00054332" w:rsidP="00054332">
                  <w:pPr>
                    <w:snapToGrid w:val="0"/>
                    <w:rPr>
                      <w:sz w:val="15"/>
                      <w:u w:val="single"/>
                    </w:rPr>
                  </w:pPr>
                  <w:r>
                    <w:rPr>
                      <w:sz w:val="15"/>
                      <w:u w:val="single"/>
                    </w:rPr>
                    <w:t xml:space="preserve">                        </w:t>
                  </w:r>
                </w:p>
                <w:p w:rsidR="00054332" w:rsidRDefault="00054332" w:rsidP="00054332">
                  <w:pPr>
                    <w:rPr>
                      <w:sz w:val="15"/>
                    </w:rPr>
                  </w:pPr>
                  <w:r>
                    <w:rPr>
                      <w:sz w:val="15"/>
                    </w:rPr>
                    <w:t>This work is partially supported by Guangdong Welling Motor Manufacturing Co. Ltd</w:t>
                  </w:r>
                  <w:r>
                    <w:rPr>
                      <w:rFonts w:hint="eastAsia"/>
                      <w:sz w:val="15"/>
                    </w:rPr>
                    <w:t>,</w:t>
                  </w:r>
                  <w:r>
                    <w:rPr>
                      <w:sz w:val="15"/>
                    </w:rPr>
                    <w:t xml:space="preserve"> Guangdong Innovative Research Team Program (2011N084), China, and the Royal Academy of Engineering/</w:t>
                  </w:r>
                  <w:r>
                    <w:rPr>
                      <w:rFonts w:hint="eastAsia"/>
                      <w:sz w:val="15"/>
                    </w:rPr>
                    <w:t xml:space="preserve"> </w:t>
                  </w:r>
                  <w:r>
                    <w:rPr>
                      <w:sz w:val="15"/>
                    </w:rPr>
                    <w:t>Siemens Research Chair Program, UK.</w:t>
                  </w:r>
                </w:p>
                <w:p w:rsidR="00054332" w:rsidRDefault="00054332" w:rsidP="00054332">
                  <w:proofErr w:type="gramStart"/>
                  <w:r>
                    <w:rPr>
                      <w:sz w:val="15"/>
                    </w:rPr>
                    <w:t>Received June 20, 2016;</w:t>
                  </w:r>
                  <w:r>
                    <w:rPr>
                      <w:rFonts w:hint="eastAsia"/>
                      <w:sz w:val="15"/>
                    </w:rPr>
                    <w:t xml:space="preserve"> R</w:t>
                  </w:r>
                  <w:r>
                    <w:rPr>
                      <w:sz w:val="15"/>
                    </w:rPr>
                    <w:t>evised July 1</w:t>
                  </w:r>
                  <w:r>
                    <w:rPr>
                      <w:rFonts w:hint="eastAsia"/>
                      <w:sz w:val="15"/>
                    </w:rPr>
                    <w:t xml:space="preserve">, </w:t>
                  </w:r>
                  <w:r>
                    <w:rPr>
                      <w:sz w:val="15"/>
                    </w:rPr>
                    <w:t>2016</w:t>
                  </w:r>
                  <w:r>
                    <w:rPr>
                      <w:rFonts w:hint="eastAsia"/>
                      <w:sz w:val="15"/>
                    </w:rPr>
                    <w:t>.</w:t>
                  </w:r>
                  <w:proofErr w:type="gramEnd"/>
                </w:p>
              </w:txbxContent>
            </v:textbox>
            <w10:wrap type="square"/>
          </v:shape>
        </w:pict>
      </w:r>
      <w:r w:rsidR="00054332">
        <w:rPr>
          <w:lang w:val="en-GB"/>
        </w:rPr>
        <w:t>In electric drive systems, the system performance largely depends on the electrical machines employed. Progress in the materials, power electronics</w:t>
      </w:r>
      <w:r w:rsidR="00054332">
        <w:rPr>
          <w:rFonts w:hint="eastAsia"/>
          <w:lang w:val="en-GB"/>
        </w:rPr>
        <w:t>,</w:t>
      </w:r>
      <w:r w:rsidR="00054332">
        <w:rPr>
          <w:lang w:val="en-GB"/>
        </w:rPr>
        <w:t xml:space="preserve"> and control technologies over the past few decades has </w:t>
      </w:r>
      <w:r w:rsidR="00054332">
        <w:rPr>
          <w:rFonts w:ascii="Times" w:hAnsi="Times"/>
          <w:spacing w:val="4"/>
          <w:lang w:val="en-GB"/>
        </w:rPr>
        <w:t xml:space="preserve">enabled the developments of various electrical </w:t>
      </w:r>
      <w:proofErr w:type="gramStart"/>
      <w:r w:rsidR="00054332">
        <w:rPr>
          <w:rFonts w:ascii="Times" w:hAnsi="Times"/>
          <w:spacing w:val="4"/>
          <w:lang w:val="en-GB"/>
        </w:rPr>
        <w:t>machines</w:t>
      </w:r>
      <w:r w:rsidR="00054332">
        <w:rPr>
          <w:rFonts w:ascii="Times" w:hAnsi="Times"/>
          <w:spacing w:val="4"/>
          <w:vertAlign w:val="superscript"/>
          <w:lang w:val="en-GB"/>
        </w:rPr>
        <w:t>[</w:t>
      </w:r>
      <w:proofErr w:type="gramEnd"/>
      <w:r w:rsidR="00054332">
        <w:rPr>
          <w:rFonts w:ascii="Times" w:hAnsi="Times"/>
          <w:spacing w:val="4"/>
          <w:vertAlign w:val="superscript"/>
          <w:lang w:val="en-GB"/>
        </w:rPr>
        <w:t>1</w:t>
      </w:r>
      <w:r w:rsidR="00054332">
        <w:rPr>
          <w:rFonts w:ascii="Times" w:hAnsi="Times" w:hint="eastAsia"/>
          <w:spacing w:val="4"/>
          <w:vertAlign w:val="superscript"/>
          <w:lang w:val="en-GB"/>
        </w:rPr>
        <w:t>-</w:t>
      </w:r>
      <w:r w:rsidR="00054332">
        <w:rPr>
          <w:rFonts w:ascii="Times" w:hAnsi="Times"/>
          <w:spacing w:val="4"/>
          <w:vertAlign w:val="superscript"/>
          <w:lang w:val="en-GB"/>
        </w:rPr>
        <w:t>12]</w:t>
      </w:r>
      <w:r w:rsidR="00054332">
        <w:rPr>
          <w:rFonts w:ascii="Times" w:hAnsi="Times"/>
          <w:spacing w:val="4"/>
          <w:lang w:val="en-GB"/>
        </w:rPr>
        <w:t>.</w:t>
      </w:r>
      <w:r w:rsidR="00054332">
        <w:rPr>
          <w:lang w:val="en-GB"/>
        </w:rPr>
        <w:t xml:space="preserve"> The major electrical machine techno</w:t>
      </w:r>
      <w:r w:rsidR="00054332">
        <w:rPr>
          <w:rFonts w:hint="eastAsia"/>
          <w:lang w:val="en-GB"/>
        </w:rPr>
        <w:t xml:space="preserve">- </w:t>
      </w:r>
      <w:proofErr w:type="spellStart"/>
      <w:r w:rsidR="00054332">
        <w:rPr>
          <w:lang w:val="en-GB"/>
        </w:rPr>
        <w:t>logies</w:t>
      </w:r>
      <w:proofErr w:type="spellEnd"/>
      <w:r w:rsidR="00054332">
        <w:rPr>
          <w:lang w:val="en-GB"/>
        </w:rPr>
        <w:t xml:space="preserve"> are summarized in Fig.1</w:t>
      </w:r>
      <w:r w:rsidR="00054332">
        <w:rPr>
          <w:rFonts w:hint="eastAsia"/>
          <w:lang w:val="en-GB"/>
        </w:rPr>
        <w:t>.</w:t>
      </w:r>
      <w:r w:rsidR="00054332">
        <w:rPr>
          <w:lang w:val="en-GB"/>
        </w:rPr>
        <w:t xml:space="preserve"> Historically, electric drives were dominated by induction machines (IM) and electrically excited (EE) machines. However, more recently, new machine technologies such as permanent magnet (PM) machines have become more popular due to high torque density and efficiency, especially when high energy rare-earth permanent magnet materials are employed. Switched reluctance (SR) and synchronous reluctance machines are developed by utilizing reluctance torque. The torque densities of reluctance machines are similar to IM's and hence reluctance machines are usually considered as alternative options to </w:t>
      </w:r>
      <w:proofErr w:type="spellStart"/>
      <w:r w:rsidR="00054332">
        <w:rPr>
          <w:lang w:val="en-GB"/>
        </w:rPr>
        <w:t>IMs</w:t>
      </w:r>
      <w:proofErr w:type="spellEnd"/>
      <w:r w:rsidR="00054332">
        <w:rPr>
          <w:lang w:val="en-GB"/>
        </w:rPr>
        <w:t>, albeit with a low power factor</w:t>
      </w:r>
      <w:r w:rsidR="00054332">
        <w:rPr>
          <w:rFonts w:hint="eastAsia"/>
          <w:lang w:val="en-GB"/>
        </w:rPr>
        <w:t>.</w:t>
      </w:r>
      <w:r w:rsidR="00054332">
        <w:rPr>
          <w:lang w:val="en-GB"/>
        </w:rPr>
        <w:t xml:space="preserve"> However, electronic controllers are inevitably </w:t>
      </w:r>
      <w:r w:rsidR="00054332">
        <w:rPr>
          <w:lang w:val="en-GB"/>
        </w:rPr>
        <w:lastRenderedPageBreak/>
        <w:t xml:space="preserve">required to operate reluctance machines. Hybrid electrical machines are developed by uniquely integrating different machine technologies. Due to the variety ways of integration, a large number of hybrid electrical machines have been developed and are one of the most popular research topics under </w:t>
      </w:r>
      <w:proofErr w:type="spellStart"/>
      <w:r w:rsidR="00054332">
        <w:rPr>
          <w:lang w:val="en-GB"/>
        </w:rPr>
        <w:t>investi</w:t>
      </w:r>
      <w:proofErr w:type="spellEnd"/>
      <w:r w:rsidR="00054332">
        <w:rPr>
          <w:rFonts w:hint="eastAsia"/>
          <w:lang w:val="en-GB"/>
        </w:rPr>
        <w:t xml:space="preserve">- </w:t>
      </w:r>
      <w:proofErr w:type="spellStart"/>
      <w:proofErr w:type="gramStart"/>
      <w:r w:rsidR="00054332">
        <w:rPr>
          <w:lang w:val="en-GB"/>
        </w:rPr>
        <w:t>gation</w:t>
      </w:r>
      <w:proofErr w:type="spellEnd"/>
      <w:r w:rsidR="00054332">
        <w:rPr>
          <w:vertAlign w:val="superscript"/>
          <w:lang w:val="en-GB"/>
        </w:rPr>
        <w:t>[</w:t>
      </w:r>
      <w:proofErr w:type="gramEnd"/>
      <w:r w:rsidR="00054332">
        <w:rPr>
          <w:vertAlign w:val="superscript"/>
          <w:lang w:val="en-GB"/>
        </w:rPr>
        <w:t>12]</w:t>
      </w:r>
      <w:r w:rsidR="00054332">
        <w:rPr>
          <w:rFonts w:hint="eastAsia"/>
          <w:lang w:val="en-GB"/>
        </w:rPr>
        <w:t>.</w:t>
      </w:r>
    </w:p>
    <w:p w:rsidR="00054332" w:rsidRDefault="00054332" w:rsidP="00054332">
      <w:pPr>
        <w:ind w:firstLineChars="200" w:firstLine="424"/>
        <w:jc w:val="distribute"/>
        <w:rPr>
          <w:lang w:val="en-GB"/>
        </w:rPr>
      </w:pPr>
      <w:r>
        <w:rPr>
          <w:lang w:val="en-GB"/>
        </w:rPr>
        <w:t xml:space="preserve">Despite of variety technologies, one of the major challenges for all electrical machines is the magnetic saturation. This is due to the nature of nonlinear soft magnetic materials. The magnetic saturation affects nearly all aspects of electrical machines, such as magnetic field distributions, flux linkages, voltages, average torque and torque ripple, overload capability, inductances, flux weakening capability, torque speed curve, iron losses and efficiency. More importantly, the magnetic saturation makes it much more difficult to predict the breakdown contributions and/or </w:t>
      </w:r>
    </w:p>
    <w:p w:rsidR="00054332" w:rsidRDefault="00054332" w:rsidP="00054332">
      <w:pPr>
        <w:jc w:val="center"/>
        <w:rPr>
          <w:sz w:val="15"/>
        </w:rPr>
      </w:pPr>
      <w:r>
        <w:rPr>
          <w:noProof/>
          <w:sz w:val="15"/>
        </w:rPr>
        <w:drawing>
          <wp:inline distT="0" distB="0" distL="0" distR="0">
            <wp:extent cx="2966085" cy="1670050"/>
            <wp:effectExtent l="19050" t="0" r="5715" b="0"/>
            <wp:docPr id="1" name="图片 1" descr="..\..\..\图片\新建文件夹\1000\100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新建文件夹\1000\100001a.tif"/>
                    <pic:cNvPicPr>
                      <a:picLocks noChangeAspect="1" noChangeArrowheads="1"/>
                    </pic:cNvPicPr>
                  </pic:nvPicPr>
                  <pic:blipFill>
                    <a:blip r:embed="rId10" cstate="print"/>
                    <a:srcRect/>
                    <a:stretch>
                      <a:fillRect/>
                    </a:stretch>
                  </pic:blipFill>
                  <pic:spPr bwMode="auto">
                    <a:xfrm>
                      <a:off x="0" y="0"/>
                      <a:ext cx="2966085" cy="1670050"/>
                    </a:xfrm>
                    <a:prstGeom prst="rect">
                      <a:avLst/>
                    </a:prstGeom>
                    <a:noFill/>
                    <a:ln w="9525">
                      <a:noFill/>
                      <a:miter lim="800000"/>
                      <a:headEnd/>
                      <a:tailEnd/>
                    </a:ln>
                  </pic:spPr>
                </pic:pic>
              </a:graphicData>
            </a:graphic>
          </wp:inline>
        </w:drawing>
      </w:r>
    </w:p>
    <w:p w:rsidR="00054332" w:rsidRDefault="00054332" w:rsidP="00054332">
      <w:pPr>
        <w:ind w:firstLineChars="1100" w:firstLine="1782"/>
        <w:rPr>
          <w:sz w:val="15"/>
        </w:rPr>
      </w:pPr>
      <w:r>
        <w:rPr>
          <w:sz w:val="15"/>
        </w:rPr>
        <w:t>(a) Classification</w:t>
      </w:r>
    </w:p>
    <w:p w:rsidR="00054332" w:rsidRDefault="00054332" w:rsidP="00054332">
      <w:pPr>
        <w:jc w:val="center"/>
        <w:rPr>
          <w:sz w:val="15"/>
        </w:rPr>
      </w:pPr>
      <w:r>
        <w:rPr>
          <w:rFonts w:hint="eastAsia"/>
          <w:noProof/>
          <w:sz w:val="15"/>
        </w:rPr>
        <w:drawing>
          <wp:inline distT="0" distB="0" distL="0" distR="0">
            <wp:extent cx="2799080" cy="1343660"/>
            <wp:effectExtent l="19050" t="0" r="1270" b="0"/>
            <wp:docPr id="2" name="图片 2" descr="..\..\..\图片\新建文件夹\1000\100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新建文件夹\1000\100001b.tif"/>
                    <pic:cNvPicPr>
                      <a:picLocks noChangeAspect="1" noChangeArrowheads="1"/>
                    </pic:cNvPicPr>
                  </pic:nvPicPr>
                  <pic:blipFill>
                    <a:blip r:embed="rId11" cstate="print"/>
                    <a:srcRect/>
                    <a:stretch>
                      <a:fillRect/>
                    </a:stretch>
                  </pic:blipFill>
                  <pic:spPr bwMode="auto">
                    <a:xfrm>
                      <a:off x="0" y="0"/>
                      <a:ext cx="2799080" cy="1343660"/>
                    </a:xfrm>
                    <a:prstGeom prst="rect">
                      <a:avLst/>
                    </a:prstGeom>
                    <a:noFill/>
                    <a:ln w="9525">
                      <a:noFill/>
                      <a:miter lim="800000"/>
                      <a:headEnd/>
                      <a:tailEnd/>
                    </a:ln>
                  </pic:spPr>
                </pic:pic>
              </a:graphicData>
            </a:graphic>
          </wp:inline>
        </w:drawing>
      </w:r>
    </w:p>
    <w:p w:rsidR="00054332" w:rsidRDefault="00054332" w:rsidP="00054332">
      <w:pPr>
        <w:ind w:firstLineChars="400" w:firstLine="648"/>
        <w:rPr>
          <w:sz w:val="15"/>
        </w:rPr>
      </w:pPr>
      <w:r>
        <w:rPr>
          <w:sz w:val="15"/>
        </w:rPr>
        <w:t>(b) Induction</w:t>
      </w:r>
      <w:r>
        <w:rPr>
          <w:rFonts w:hint="eastAsia"/>
          <w:sz w:val="15"/>
        </w:rPr>
        <w:t xml:space="preserve">             </w:t>
      </w:r>
      <w:r>
        <w:rPr>
          <w:sz w:val="15"/>
        </w:rPr>
        <w:t>(c) Electrically excited</w:t>
      </w:r>
    </w:p>
    <w:p w:rsidR="00054332" w:rsidRDefault="00054332" w:rsidP="00054332">
      <w:pPr>
        <w:jc w:val="center"/>
        <w:rPr>
          <w:sz w:val="15"/>
        </w:rPr>
      </w:pPr>
      <w:r>
        <w:rPr>
          <w:b/>
          <w:noProof/>
          <w:color w:val="FF0000"/>
          <w:sz w:val="24"/>
        </w:rPr>
        <w:drawing>
          <wp:inline distT="0" distB="0" distL="0" distR="0">
            <wp:extent cx="1264285" cy="127190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264285" cy="1271905"/>
                    </a:xfrm>
                    <a:prstGeom prst="rect">
                      <a:avLst/>
                    </a:prstGeom>
                    <a:noFill/>
                    <a:ln w="9525">
                      <a:noFill/>
                      <a:miter lim="800000"/>
                      <a:headEnd/>
                      <a:tailEnd/>
                    </a:ln>
                  </pic:spPr>
                </pic:pic>
              </a:graphicData>
            </a:graphic>
          </wp:inline>
        </w:drawing>
      </w:r>
      <w:r>
        <w:rPr>
          <w:rFonts w:hint="eastAsia"/>
          <w:b/>
          <w:noProof/>
          <w:color w:val="FF0000"/>
          <w:sz w:val="24"/>
        </w:rPr>
        <w:t xml:space="preserve">   </w:t>
      </w:r>
      <w:r>
        <w:rPr>
          <w:b/>
          <w:noProof/>
          <w:color w:val="FF0000"/>
          <w:sz w:val="24"/>
        </w:rPr>
        <w:drawing>
          <wp:inline distT="0" distB="0" distL="0" distR="0">
            <wp:extent cx="1271905" cy="1271905"/>
            <wp:effectExtent l="19050" t="0" r="4445" b="0"/>
            <wp:docPr id="4" name="Picture 5" descr="C:\Wenqiang_CHU\Thesis\S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enqiang_CHU\Thesis\SR.bmp"/>
                    <pic:cNvPicPr>
                      <a:picLocks noChangeAspect="1" noChangeArrowheads="1"/>
                    </pic:cNvPicPr>
                  </pic:nvPicPr>
                  <pic:blipFill>
                    <a:blip r:embed="rId13" cstate="print"/>
                    <a:srcRect/>
                    <a:stretch>
                      <a:fillRect/>
                    </a:stretch>
                  </pic:blipFill>
                  <pic:spPr bwMode="auto">
                    <a:xfrm>
                      <a:off x="0" y="0"/>
                      <a:ext cx="1271905" cy="1271905"/>
                    </a:xfrm>
                    <a:prstGeom prst="rect">
                      <a:avLst/>
                    </a:prstGeom>
                    <a:noFill/>
                    <a:ln w="9525">
                      <a:noFill/>
                      <a:miter lim="800000"/>
                      <a:headEnd/>
                      <a:tailEnd/>
                    </a:ln>
                  </pic:spPr>
                </pic:pic>
              </a:graphicData>
            </a:graphic>
          </wp:inline>
        </w:drawing>
      </w:r>
    </w:p>
    <w:p w:rsidR="00054332" w:rsidRDefault="00054332" w:rsidP="00054332">
      <w:pPr>
        <w:tabs>
          <w:tab w:val="left" w:pos="2331"/>
          <w:tab w:val="left" w:pos="4662"/>
        </w:tabs>
        <w:ind w:firstLineChars="233" w:firstLine="377"/>
        <w:jc w:val="left"/>
        <w:rPr>
          <w:sz w:val="15"/>
        </w:rPr>
      </w:pPr>
      <w:r>
        <w:rPr>
          <w:sz w:val="15"/>
        </w:rPr>
        <w:t>(d) Permanent magnet</w:t>
      </w:r>
      <w:r>
        <w:rPr>
          <w:rFonts w:hint="eastAsia"/>
          <w:sz w:val="15"/>
        </w:rPr>
        <w:t xml:space="preserve">          </w:t>
      </w:r>
      <w:r>
        <w:rPr>
          <w:sz w:val="15"/>
        </w:rPr>
        <w:t>(e) Switch</w:t>
      </w:r>
      <w:r>
        <w:rPr>
          <w:rFonts w:hint="eastAsia"/>
          <w:sz w:val="15"/>
        </w:rPr>
        <w:t>ed</w:t>
      </w:r>
      <w:r>
        <w:rPr>
          <w:sz w:val="15"/>
        </w:rPr>
        <w:t xml:space="preserve"> </w:t>
      </w:r>
      <w:proofErr w:type="spellStart"/>
      <w:r>
        <w:rPr>
          <w:sz w:val="15"/>
        </w:rPr>
        <w:t>relectance</w:t>
      </w:r>
      <w:proofErr w:type="spellEnd"/>
    </w:p>
    <w:p w:rsidR="00054332" w:rsidRDefault="00054332" w:rsidP="00054332">
      <w:pPr>
        <w:tabs>
          <w:tab w:val="left" w:pos="2331"/>
          <w:tab w:val="left" w:pos="4662"/>
        </w:tabs>
        <w:jc w:val="center"/>
        <w:rPr>
          <w:sz w:val="15"/>
        </w:rPr>
      </w:pPr>
      <w:r>
        <w:rPr>
          <w:rFonts w:hint="eastAsia"/>
          <w:b/>
          <w:noProof/>
          <w:color w:val="FF0000"/>
          <w:sz w:val="24"/>
        </w:rPr>
        <w:lastRenderedPageBreak/>
        <w:drawing>
          <wp:inline distT="0" distB="0" distL="0" distR="0">
            <wp:extent cx="1296035" cy="1296035"/>
            <wp:effectExtent l="19050" t="0" r="0" b="0"/>
            <wp:docPr id="5" name="Picture 1" descr="C:\Wenqiang_CHU\Thesis\SynReluct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enqiang_CHU\Thesis\SynReluctance.bmp"/>
                    <pic:cNvPicPr>
                      <a:picLocks noChangeAspect="1" noChangeArrowheads="1"/>
                    </pic:cNvPicPr>
                  </pic:nvPicPr>
                  <pic:blipFill>
                    <a:blip r:embed="rId14" cstate="print"/>
                    <a:srcRect/>
                    <a:stretch>
                      <a:fillRect/>
                    </a:stretch>
                  </pic:blipFill>
                  <pic:spPr bwMode="auto">
                    <a:xfrm>
                      <a:off x="0" y="0"/>
                      <a:ext cx="1296035" cy="1296035"/>
                    </a:xfrm>
                    <a:prstGeom prst="rect">
                      <a:avLst/>
                    </a:prstGeom>
                    <a:noFill/>
                    <a:ln w="9525">
                      <a:noFill/>
                      <a:miter lim="800000"/>
                      <a:headEnd/>
                      <a:tailEnd/>
                    </a:ln>
                  </pic:spPr>
                </pic:pic>
              </a:graphicData>
            </a:graphic>
          </wp:inline>
        </w:drawing>
      </w:r>
      <w:r>
        <w:rPr>
          <w:rFonts w:hint="eastAsia"/>
          <w:b/>
          <w:color w:val="FF0000"/>
          <w:sz w:val="24"/>
        </w:rPr>
        <w:t xml:space="preserve">   </w:t>
      </w:r>
      <w:r>
        <w:rPr>
          <w:rFonts w:hint="eastAsia"/>
          <w:b/>
          <w:noProof/>
          <w:color w:val="FF0000"/>
          <w:sz w:val="24"/>
        </w:rPr>
        <w:drawing>
          <wp:inline distT="0" distB="0" distL="0" distR="0">
            <wp:extent cx="1304290" cy="130429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304290" cy="1304290"/>
                    </a:xfrm>
                    <a:prstGeom prst="rect">
                      <a:avLst/>
                    </a:prstGeom>
                    <a:noFill/>
                    <a:ln w="9525">
                      <a:noFill/>
                      <a:miter lim="800000"/>
                      <a:headEnd/>
                      <a:tailEnd/>
                    </a:ln>
                  </pic:spPr>
                </pic:pic>
              </a:graphicData>
            </a:graphic>
          </wp:inline>
        </w:drawing>
      </w:r>
    </w:p>
    <w:p w:rsidR="00054332" w:rsidRDefault="00054332" w:rsidP="00054332">
      <w:pPr>
        <w:tabs>
          <w:tab w:val="left" w:pos="4662"/>
        </w:tabs>
        <w:ind w:firstLineChars="200" w:firstLine="324"/>
        <w:jc w:val="left"/>
        <w:rPr>
          <w:sz w:val="15"/>
        </w:rPr>
      </w:pPr>
      <w:r>
        <w:rPr>
          <w:sz w:val="15"/>
        </w:rPr>
        <w:t>(f) Synchronous reluctance</w:t>
      </w:r>
      <w:r>
        <w:rPr>
          <w:rFonts w:hint="eastAsia"/>
          <w:sz w:val="15"/>
        </w:rPr>
        <w:t xml:space="preserve">            </w:t>
      </w:r>
      <w:r>
        <w:rPr>
          <w:sz w:val="15"/>
        </w:rPr>
        <w:t>(g) Hybrid</w:t>
      </w:r>
    </w:p>
    <w:p w:rsidR="00054332" w:rsidRDefault="00054332" w:rsidP="00054332">
      <w:pPr>
        <w:pStyle w:val="ae"/>
      </w:pPr>
      <w:proofErr w:type="gramStart"/>
      <w:r>
        <w:t>Fig.1  Classification</w:t>
      </w:r>
      <w:proofErr w:type="gramEnd"/>
      <w:r>
        <w:t xml:space="preserve"> and cross-sections of different electrical machines</w:t>
      </w:r>
    </w:p>
    <w:p w:rsidR="00054332" w:rsidRDefault="00054332" w:rsidP="00054332">
      <w:proofErr w:type="gramStart"/>
      <w:r>
        <w:rPr>
          <w:rFonts w:ascii="Times" w:hAnsi="Times"/>
          <w:spacing w:val="0"/>
          <w:lang w:val="en-GB"/>
        </w:rPr>
        <w:t>components</w:t>
      </w:r>
      <w:proofErr w:type="gramEnd"/>
      <w:r>
        <w:rPr>
          <w:rFonts w:ascii="Times" w:hAnsi="Times"/>
          <w:spacing w:val="0"/>
          <w:lang w:val="en-GB"/>
        </w:rPr>
        <w:t xml:space="preserve"> of aforementioned performances. However,</w:t>
      </w:r>
      <w:r>
        <w:rPr>
          <w:lang w:val="en-GB"/>
        </w:rPr>
        <w:t xml:space="preserve"> in order to develop high performance electrical machines, it will be greatly helpful to reveal the relationships between the design parameters and the breakdown contributions/components of </w:t>
      </w:r>
      <w:proofErr w:type="spellStart"/>
      <w:r>
        <w:rPr>
          <w:lang w:val="en-GB"/>
        </w:rPr>
        <w:t>aforemen</w:t>
      </w:r>
      <w:proofErr w:type="spellEnd"/>
      <w:r>
        <w:rPr>
          <w:rFonts w:hint="eastAsia"/>
          <w:lang w:val="en-GB"/>
        </w:rPr>
        <w:t xml:space="preserve">- </w:t>
      </w:r>
      <w:proofErr w:type="spellStart"/>
      <w:r>
        <w:rPr>
          <w:lang w:val="en-GB"/>
        </w:rPr>
        <w:t>tioned</w:t>
      </w:r>
      <w:proofErr w:type="spellEnd"/>
      <w:r>
        <w:rPr>
          <w:lang w:val="en-GB"/>
        </w:rPr>
        <w:t xml:space="preserve"> performance under different loadings.</w:t>
      </w:r>
    </w:p>
    <w:p w:rsidR="00054332" w:rsidRDefault="00054332" w:rsidP="00054332">
      <w:pPr>
        <w:ind w:firstLineChars="200" w:firstLine="424"/>
      </w:pPr>
      <w:r>
        <w:t xml:space="preserve">On the other hand, with the progress of finite element software, frozen permeability (FP) technique has been developed and becomes available in the commercial software. The FP technique is able to </w:t>
      </w:r>
      <w:r>
        <w:rPr>
          <w:lang w:val="en-GB"/>
        </w:rPr>
        <w:t>calculate the electromagnetic qualities while con</w:t>
      </w:r>
      <w:r>
        <w:rPr>
          <w:rFonts w:hint="eastAsia"/>
          <w:lang w:val="en-GB"/>
        </w:rPr>
        <w:t xml:space="preserve">- </w:t>
      </w:r>
      <w:proofErr w:type="spellStart"/>
      <w:r>
        <w:rPr>
          <w:lang w:val="en-GB"/>
        </w:rPr>
        <w:t>sidering</w:t>
      </w:r>
      <w:proofErr w:type="spellEnd"/>
      <w:r>
        <w:rPr>
          <w:lang w:val="en-GB"/>
        </w:rPr>
        <w:t xml:space="preserve"> the influence of magnetic saturation and hence </w:t>
      </w:r>
      <w:r>
        <w:t>widely used to investigate the issues related with magnetic saturation. Thus, it can provide strong technical supports on developing high performance electrical machines.</w:t>
      </w:r>
    </w:p>
    <w:p w:rsidR="00054332" w:rsidRDefault="00054332" w:rsidP="00054332">
      <w:pPr>
        <w:ind w:firstLineChars="200" w:firstLine="424"/>
      </w:pPr>
      <w:r>
        <w:t xml:space="preserve">In this paper, the advanced FP technique and its applications in various electrical machines are comprehensively reviewed. The principle of FP technique is described in section </w:t>
      </w:r>
      <w:r>
        <w:rPr>
          <w:rFonts w:hint="eastAsia"/>
        </w:rPr>
        <w:t>1</w:t>
      </w:r>
      <w:r>
        <w:t xml:space="preserve">. The sections </w:t>
      </w:r>
      <w:r>
        <w:rPr>
          <w:rFonts w:hint="eastAsia"/>
        </w:rPr>
        <w:t>2</w:t>
      </w:r>
      <w:r>
        <w:rPr>
          <w:rFonts w:hint="eastAsia"/>
        </w:rPr>
        <w:t>～</w:t>
      </w:r>
      <w:r>
        <w:rPr>
          <w:rFonts w:hint="eastAsia"/>
        </w:rPr>
        <w:t>9</w:t>
      </w:r>
      <w:r>
        <w:t xml:space="preserve"> are devoted to the applications of FP technique on different topics of PM machines, such as on-load magnetic field, flux linkages and inductance estimation, separation of torque components, on-load cogging torque, on-load torque ripple, on-load back EMF, on-load voltage waveforms, flux weakening et al. The applications of FP technique to other technical issues and other types of electrical machines are highlighted in sections 1</w:t>
      </w:r>
      <w:r>
        <w:rPr>
          <w:rFonts w:hint="eastAsia"/>
        </w:rPr>
        <w:t>0</w:t>
      </w:r>
      <w:r>
        <w:t xml:space="preserve"> and 1</w:t>
      </w:r>
      <w:r>
        <w:rPr>
          <w:rFonts w:hint="eastAsia"/>
        </w:rPr>
        <w:t>1.</w:t>
      </w:r>
    </w:p>
    <w:p w:rsidR="00054332" w:rsidRDefault="00054332" w:rsidP="00054332">
      <w:pPr>
        <w:pStyle w:val="3"/>
      </w:pPr>
      <w:proofErr w:type="gramStart"/>
      <w:r>
        <w:rPr>
          <w:rFonts w:hint="eastAsia"/>
          <w:bCs/>
        </w:rPr>
        <w:t>1</w:t>
      </w:r>
      <w:r>
        <w:t xml:space="preserve">  Principle</w:t>
      </w:r>
      <w:proofErr w:type="gramEnd"/>
      <w:r>
        <w:t xml:space="preserve"> of Frozen Permeability</w:t>
      </w:r>
    </w:p>
    <w:p w:rsidR="00054332" w:rsidRDefault="00054332" w:rsidP="00054332">
      <w:pPr>
        <w:ind w:firstLineChars="200" w:firstLine="424"/>
      </w:pPr>
      <w:r>
        <w:t>The early publications on FP technique can be found in Ref</w:t>
      </w:r>
      <w:proofErr w:type="gramStart"/>
      <w:r>
        <w:t>.[</w:t>
      </w:r>
      <w:proofErr w:type="gramEnd"/>
      <w:r>
        <w:t>13</w:t>
      </w:r>
      <w:r>
        <w:rPr>
          <w:rFonts w:hint="eastAsia"/>
        </w:rPr>
        <w:t>-</w:t>
      </w:r>
      <w:r>
        <w:t xml:space="preserve">16]. Currently, FP technique has been widely used in all types of electrical machines to </w:t>
      </w:r>
      <w:r>
        <w:lastRenderedPageBreak/>
        <w:t xml:space="preserve">investigate the issues related with magnetic saturation and cross-coupling as will be shown later. Taking PM machines as an example, the principle of FP technique is illustrated in Fig.2. </w:t>
      </w:r>
    </w:p>
    <w:p w:rsidR="00054332" w:rsidRDefault="00054332" w:rsidP="00054332">
      <w:pPr>
        <w:jc w:val="center"/>
      </w:pPr>
      <w:r>
        <w:rPr>
          <w:rFonts w:hint="eastAsia"/>
          <w:noProof/>
        </w:rPr>
        <w:drawing>
          <wp:inline distT="0" distB="0" distL="0" distR="0">
            <wp:extent cx="2934335" cy="1900555"/>
            <wp:effectExtent l="19050" t="0" r="0" b="0"/>
            <wp:docPr id="7" name="图片 7" descr="图片\1000\1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1000\100002.tif"/>
                    <pic:cNvPicPr>
                      <a:picLocks noChangeAspect="1" noChangeArrowheads="1"/>
                    </pic:cNvPicPr>
                  </pic:nvPicPr>
                  <pic:blipFill>
                    <a:blip r:embed="rId16" cstate="print"/>
                    <a:srcRect/>
                    <a:stretch>
                      <a:fillRect/>
                    </a:stretch>
                  </pic:blipFill>
                  <pic:spPr bwMode="auto">
                    <a:xfrm>
                      <a:off x="0" y="0"/>
                      <a:ext cx="2934335" cy="1900555"/>
                    </a:xfrm>
                    <a:prstGeom prst="rect">
                      <a:avLst/>
                    </a:prstGeom>
                    <a:noFill/>
                    <a:ln w="9525">
                      <a:noFill/>
                      <a:miter lim="800000"/>
                      <a:headEnd/>
                      <a:tailEnd/>
                    </a:ln>
                  </pic:spPr>
                </pic:pic>
              </a:graphicData>
            </a:graphic>
          </wp:inline>
        </w:drawing>
      </w:r>
    </w:p>
    <w:p w:rsidR="00054332" w:rsidRDefault="00054332" w:rsidP="00054332">
      <w:pPr>
        <w:pStyle w:val="ae"/>
      </w:pPr>
      <w:proofErr w:type="gramStart"/>
      <w:r>
        <w:t>Fig.2  Principle</w:t>
      </w:r>
      <w:proofErr w:type="gramEnd"/>
      <w:r>
        <w:t xml:space="preserve"> of frozen permeability technique</w:t>
      </w:r>
    </w:p>
    <w:p w:rsidR="00054332" w:rsidRDefault="00054332" w:rsidP="00054332">
      <w:pPr>
        <w:ind w:firstLineChars="200" w:firstLine="424"/>
      </w:pPr>
      <w:r>
        <w:t>When a PM machine is on load, the machine is excited by both the PM and the armature current. The resultant operating point can be presented by point 1 (</w:t>
      </w:r>
      <w:r>
        <w:rPr>
          <w:i/>
          <w:iCs/>
        </w:rPr>
        <w:t>H</w:t>
      </w:r>
      <w:r>
        <w:rPr>
          <w:iCs/>
          <w:vertAlign w:val="subscript"/>
        </w:rPr>
        <w:t>all</w:t>
      </w:r>
      <w:r>
        <w:rPr>
          <w:iCs/>
        </w:rPr>
        <w:t xml:space="preserve"> </w:t>
      </w:r>
      <w:r>
        <w:t>and</w:t>
      </w:r>
      <w:r>
        <w:rPr>
          <w:i/>
          <w:iCs/>
        </w:rPr>
        <w:t xml:space="preserve"> B</w:t>
      </w:r>
      <w:r>
        <w:rPr>
          <w:iCs/>
          <w:vertAlign w:val="subscript"/>
        </w:rPr>
        <w:t>all</w:t>
      </w:r>
      <w:r>
        <w:t xml:space="preserve">). It is well known that due to nonlinear </w:t>
      </w:r>
      <w:r>
        <w:rPr>
          <w:i/>
        </w:rPr>
        <w:t>B</w:t>
      </w:r>
      <w:r>
        <w:rPr>
          <w:rFonts w:hint="eastAsia"/>
        </w:rPr>
        <w:t>-</w:t>
      </w:r>
      <w:r>
        <w:rPr>
          <w:i/>
        </w:rPr>
        <w:t>H</w:t>
      </w:r>
      <w:r>
        <w:t xml:space="preserve"> curve of soft magnetic material, although </w:t>
      </w:r>
      <w:r>
        <w:rPr>
          <w:i/>
          <w:iCs/>
        </w:rPr>
        <w:t>H</w:t>
      </w:r>
      <w:r>
        <w:rPr>
          <w:iCs/>
          <w:vertAlign w:val="subscript"/>
        </w:rPr>
        <w:t>all</w:t>
      </w:r>
      <w:r>
        <w:t>=</w:t>
      </w:r>
      <w:proofErr w:type="spellStart"/>
      <w:r>
        <w:rPr>
          <w:i/>
          <w:iCs/>
        </w:rPr>
        <w:t>H</w:t>
      </w:r>
      <w:r>
        <w:rPr>
          <w:iCs/>
          <w:vertAlign w:val="subscript"/>
        </w:rPr>
        <w:t>PM</w:t>
      </w:r>
      <w:r>
        <w:t>+</w:t>
      </w:r>
      <w:r>
        <w:rPr>
          <w:i/>
          <w:iCs/>
        </w:rPr>
        <w:t>H</w:t>
      </w:r>
      <w:r>
        <w:rPr>
          <w:iCs/>
          <w:vertAlign w:val="subscript"/>
        </w:rPr>
        <w:t>i</w:t>
      </w:r>
      <w:proofErr w:type="spellEnd"/>
      <w:r>
        <w:rPr>
          <w:rFonts w:hint="eastAsia"/>
        </w:rPr>
        <w:t>,</w:t>
      </w:r>
      <w:r>
        <w:t xml:space="preserve"> </w:t>
      </w:r>
      <w:proofErr w:type="spellStart"/>
      <w:r>
        <w:rPr>
          <w:i/>
          <w:iCs/>
        </w:rPr>
        <w:t>B</w:t>
      </w:r>
      <w:r>
        <w:rPr>
          <w:iCs/>
          <w:vertAlign w:val="subscript"/>
        </w:rPr>
        <w:t>all</w:t>
      </w:r>
      <w:r>
        <w:t>≠</w:t>
      </w:r>
      <w:r>
        <w:rPr>
          <w:i/>
          <w:iCs/>
        </w:rPr>
        <w:t>B</w:t>
      </w:r>
      <w:r>
        <w:rPr>
          <w:iCs/>
          <w:vertAlign w:val="subscript"/>
        </w:rPr>
        <w:t>PM</w:t>
      </w:r>
      <w:r>
        <w:t>+</w:t>
      </w:r>
      <w:r>
        <w:rPr>
          <w:i/>
          <w:iCs/>
        </w:rPr>
        <w:t>B</w:t>
      </w:r>
      <w:r>
        <w:rPr>
          <w:iCs/>
          <w:vertAlign w:val="subscript"/>
        </w:rPr>
        <w:t>i</w:t>
      </w:r>
      <w:proofErr w:type="spellEnd"/>
      <w:r>
        <w:t xml:space="preserve">, where </w:t>
      </w:r>
      <w:r>
        <w:rPr>
          <w:i/>
          <w:iCs/>
        </w:rPr>
        <w:t>B</w:t>
      </w:r>
      <w:r>
        <w:rPr>
          <w:iCs/>
          <w:vertAlign w:val="subscript"/>
        </w:rPr>
        <w:t>PM</w:t>
      </w:r>
      <w:r>
        <w:rPr>
          <w:i/>
          <w:iCs/>
        </w:rPr>
        <w:t xml:space="preserve"> </w:t>
      </w:r>
      <w:r>
        <w:t>represents the resultant flux density with the PM excitation (</w:t>
      </w:r>
      <w:r>
        <w:rPr>
          <w:i/>
          <w:iCs/>
        </w:rPr>
        <w:t>H</w:t>
      </w:r>
      <w:r>
        <w:rPr>
          <w:iCs/>
          <w:vertAlign w:val="subscript"/>
        </w:rPr>
        <w:t>PM</w:t>
      </w:r>
      <w:r>
        <w:t xml:space="preserve">) only (point 2) and </w:t>
      </w:r>
      <w:r>
        <w:rPr>
          <w:i/>
          <w:iCs/>
        </w:rPr>
        <w:t>B</w:t>
      </w:r>
      <w:r>
        <w:rPr>
          <w:iCs/>
          <w:vertAlign w:val="subscript"/>
        </w:rPr>
        <w:t>i</w:t>
      </w:r>
      <w:r>
        <w:t xml:space="preserve"> represents the resultant flux density with the armature excitation (</w:t>
      </w:r>
      <w:r>
        <w:rPr>
          <w:i/>
          <w:iCs/>
        </w:rPr>
        <w:t>H</w:t>
      </w:r>
      <w:r>
        <w:rPr>
          <w:iCs/>
          <w:vertAlign w:val="subscript"/>
        </w:rPr>
        <w:t>i</w:t>
      </w:r>
      <w:r>
        <w:t>) only (point 3). Therefore, the on-load field components due to PM and armature cannot be accurately decomposed by using conventional calculations with the PM or armature excitation only</w:t>
      </w:r>
      <w:r>
        <w:rPr>
          <w:rFonts w:hint="eastAsia"/>
        </w:rPr>
        <w:t>.</w:t>
      </w:r>
      <w:r>
        <w:t xml:space="preserve"> </w:t>
      </w:r>
    </w:p>
    <w:p w:rsidR="00054332" w:rsidRDefault="00054332" w:rsidP="00054332">
      <w:pPr>
        <w:ind w:firstLineChars="200" w:firstLine="424"/>
        <w:rPr>
          <w:iCs/>
        </w:rPr>
      </w:pPr>
      <w:r>
        <w:t>The FP technique is based on the fact that all excitations always share the same permeability distribution when electrical machines are on load. Hence, the on-load permeability</w:t>
      </w:r>
      <w:r>
        <w:rPr>
          <w:i/>
          <w:iCs/>
        </w:rPr>
        <w:t xml:space="preserve"> </w:t>
      </w:r>
      <w:r>
        <w:rPr>
          <w:rFonts w:ascii="Symbol" w:hAnsi="Symbol"/>
          <w:i/>
          <w:iCs/>
        </w:rPr>
        <w:t></w:t>
      </w:r>
      <w:r>
        <w:rPr>
          <w:iCs/>
          <w:vertAlign w:val="subscript"/>
        </w:rPr>
        <w:t>all</w:t>
      </w:r>
      <w:r>
        <w:t xml:space="preserve"> is obtained and stored by solving the on-load model (point 1). Then, two linear analyses r</w:t>
      </w:r>
      <w:r>
        <w:rPr>
          <w:iCs/>
        </w:rPr>
        <w:t xml:space="preserve">epresented by the </w:t>
      </w:r>
      <w:r>
        <w:t xml:space="preserve">points 4 and 5 are solved further based on the frozen </w:t>
      </w:r>
      <w:r>
        <w:rPr>
          <w:i/>
          <w:iCs/>
        </w:rPr>
        <w:t>µ</w:t>
      </w:r>
      <w:r>
        <w:rPr>
          <w:iCs/>
          <w:vertAlign w:val="subscript"/>
        </w:rPr>
        <w:t>all</w:t>
      </w:r>
      <w:r>
        <w:t xml:space="preserve"> with either the PM or armature excitation only to obtain </w:t>
      </w:r>
      <w:proofErr w:type="gramStart"/>
      <w:r>
        <w:rPr>
          <w:i/>
          <w:iCs/>
        </w:rPr>
        <w:t>B</w:t>
      </w:r>
      <w:r>
        <w:rPr>
          <w:iCs/>
        </w:rPr>
        <w:t>(</w:t>
      </w:r>
      <w:proofErr w:type="gramEnd"/>
      <w:r>
        <w:rPr>
          <w:iCs/>
        </w:rPr>
        <w:t xml:space="preserve">FP,PM) or </w:t>
      </w:r>
      <w:r>
        <w:rPr>
          <w:i/>
          <w:iCs/>
        </w:rPr>
        <w:t>B</w:t>
      </w:r>
      <w:r>
        <w:rPr>
          <w:iCs/>
        </w:rPr>
        <w:t>(</w:t>
      </w:r>
      <w:proofErr w:type="spellStart"/>
      <w:r>
        <w:rPr>
          <w:iCs/>
        </w:rPr>
        <w:t>FP</w:t>
      </w:r>
      <w:r>
        <w:rPr>
          <w:i/>
          <w:iCs/>
        </w:rPr>
        <w:t>,</w:t>
      </w:r>
      <w:r>
        <w:t>i</w:t>
      </w:r>
      <w:proofErr w:type="spellEnd"/>
      <w:r>
        <w:rPr>
          <w:iCs/>
        </w:rPr>
        <w:t xml:space="preserve">), </w:t>
      </w:r>
      <w:r>
        <w:t>respectively</w:t>
      </w:r>
      <w:r>
        <w:rPr>
          <w:iCs/>
        </w:rPr>
        <w:t xml:space="preserve">. </w:t>
      </w:r>
      <w:r>
        <w:t>Since all three calculations are based on the same permeability (</w:t>
      </w:r>
      <w:r>
        <w:rPr>
          <w:rFonts w:ascii="Symbol" w:hAnsi="Symbol"/>
          <w:i/>
          <w:iCs/>
        </w:rPr>
        <w:t></w:t>
      </w:r>
      <w:r>
        <w:rPr>
          <w:iCs/>
          <w:vertAlign w:val="subscript"/>
        </w:rPr>
        <w:t>all</w:t>
      </w:r>
      <w:r>
        <w:rPr>
          <w:iCs/>
        </w:rPr>
        <w:t>)</w:t>
      </w:r>
      <w:r>
        <w:rPr>
          <w:rFonts w:hint="eastAsia"/>
        </w:rPr>
        <w:t>,</w:t>
      </w:r>
      <w:r>
        <w:rPr>
          <w:iCs/>
        </w:rPr>
        <w:t xml:space="preserve"> </w:t>
      </w:r>
      <w:r>
        <w:rPr>
          <w:i/>
          <w:iCs/>
        </w:rPr>
        <w:t>B</w:t>
      </w:r>
      <w:r>
        <w:rPr>
          <w:iCs/>
          <w:vertAlign w:val="subscript"/>
        </w:rPr>
        <w:t>all</w:t>
      </w:r>
      <w:r>
        <w:t xml:space="preserve">= </w:t>
      </w:r>
      <w:proofErr w:type="gramStart"/>
      <w:r>
        <w:rPr>
          <w:i/>
          <w:iCs/>
        </w:rPr>
        <w:t>B</w:t>
      </w:r>
      <w:r>
        <w:rPr>
          <w:iCs/>
        </w:rPr>
        <w:t>(</w:t>
      </w:r>
      <w:proofErr w:type="gramEnd"/>
      <w:r>
        <w:rPr>
          <w:iCs/>
        </w:rPr>
        <w:t>FP,PM)</w:t>
      </w:r>
      <w:r>
        <w:t>+</w:t>
      </w:r>
      <w:r>
        <w:rPr>
          <w:i/>
          <w:iCs/>
        </w:rPr>
        <w:t>B</w:t>
      </w:r>
      <w:r>
        <w:rPr>
          <w:iCs/>
        </w:rPr>
        <w:t>(</w:t>
      </w:r>
      <w:proofErr w:type="spellStart"/>
      <w:r>
        <w:rPr>
          <w:iCs/>
        </w:rPr>
        <w:t>FP</w:t>
      </w:r>
      <w:r>
        <w:rPr>
          <w:rFonts w:hint="eastAsia"/>
          <w:iCs/>
        </w:rPr>
        <w:t>,</w:t>
      </w:r>
      <w:r>
        <w:t>i</w:t>
      </w:r>
      <w:proofErr w:type="spellEnd"/>
      <w:r>
        <w:rPr>
          <w:iCs/>
        </w:rPr>
        <w:t>). Therefore, the on-load PM and armature field components are decomposed. Further</w:t>
      </w:r>
      <w:r>
        <w:rPr>
          <w:rFonts w:hint="eastAsia"/>
          <w:iCs/>
        </w:rPr>
        <w:t xml:space="preserve">- </w:t>
      </w:r>
      <w:r>
        <w:rPr>
          <w:iCs/>
        </w:rPr>
        <w:t xml:space="preserve">more, since </w:t>
      </w:r>
      <w:r>
        <w:rPr>
          <w:rFonts w:ascii="Symbol" w:hAnsi="Symbol"/>
          <w:i/>
          <w:iCs/>
        </w:rPr>
        <w:t></w:t>
      </w:r>
      <w:r>
        <w:rPr>
          <w:vertAlign w:val="subscript"/>
        </w:rPr>
        <w:t>all</w:t>
      </w:r>
      <w:r>
        <w:rPr>
          <w:iCs/>
        </w:rPr>
        <w:t xml:space="preserve"> varies with the load conditions, the influence of magnetic saturation and cross-coupling has been inherently taken into account</w:t>
      </w:r>
      <w:r>
        <w:rPr>
          <w:rFonts w:hint="eastAsia"/>
          <w:iCs/>
        </w:rPr>
        <w:t>.</w:t>
      </w:r>
      <w:r>
        <w:rPr>
          <w:iCs/>
        </w:rPr>
        <w:t xml:space="preserve"> </w:t>
      </w:r>
    </w:p>
    <w:p w:rsidR="00054332" w:rsidRDefault="00054332" w:rsidP="00054332">
      <w:pPr>
        <w:ind w:firstLineChars="200" w:firstLine="424"/>
        <w:rPr>
          <w:lang w:val="en-GB"/>
        </w:rPr>
      </w:pPr>
      <w:r>
        <w:t xml:space="preserve">Based on the principle of FP technique, its </w:t>
      </w:r>
      <w:r>
        <w:lastRenderedPageBreak/>
        <w:t>procedure can be summarized in Fig.3. Firstly, t</w:t>
      </w:r>
      <w:r>
        <w:rPr>
          <w:lang w:val="en-GB"/>
        </w:rPr>
        <w:t xml:space="preserve">he nonlinear calculation with all excitations, referred as the whole model, is solved. Secondly, the </w:t>
      </w:r>
      <w:proofErr w:type="spellStart"/>
      <w:r>
        <w:rPr>
          <w:lang w:val="en-GB"/>
        </w:rPr>
        <w:t>permea</w:t>
      </w:r>
      <w:proofErr w:type="spellEnd"/>
      <w:r>
        <w:rPr>
          <w:rFonts w:hint="eastAsia"/>
          <w:lang w:val="en-GB"/>
        </w:rPr>
        <w:t xml:space="preserve">- </w:t>
      </w:r>
      <w:proofErr w:type="spellStart"/>
      <w:r>
        <w:rPr>
          <w:lang w:val="en-GB"/>
        </w:rPr>
        <w:t>bility</w:t>
      </w:r>
      <w:proofErr w:type="spellEnd"/>
      <w:r>
        <w:rPr>
          <w:lang w:val="en-GB"/>
        </w:rPr>
        <w:t xml:space="preserve"> of the whole model, referred as the on-load permeability, in each element and at every rotor position is saved and frozen. Finally, linear </w:t>
      </w:r>
      <w:proofErr w:type="spellStart"/>
      <w:r>
        <w:rPr>
          <w:lang w:val="en-GB"/>
        </w:rPr>
        <w:t>calcula</w:t>
      </w:r>
      <w:proofErr w:type="spellEnd"/>
      <w:r>
        <w:rPr>
          <w:rFonts w:hint="eastAsia"/>
          <w:lang w:val="en-GB"/>
        </w:rPr>
        <w:t xml:space="preserve">- </w:t>
      </w:r>
      <w:proofErr w:type="spellStart"/>
      <w:r>
        <w:rPr>
          <w:lang w:val="en-GB"/>
        </w:rPr>
        <w:t>tions</w:t>
      </w:r>
      <w:proofErr w:type="spellEnd"/>
      <w:r>
        <w:rPr>
          <w:lang w:val="en-GB"/>
        </w:rPr>
        <w:t xml:space="preserve"> are conducted based on the on-load permeability to obtain the on-load magnetic field components of the selected excitations. </w:t>
      </w:r>
    </w:p>
    <w:p w:rsidR="00054332" w:rsidRDefault="00054332" w:rsidP="00054332">
      <w:pPr>
        <w:jc w:val="center"/>
      </w:pPr>
      <w:r>
        <w:rPr>
          <w:noProof/>
        </w:rPr>
        <w:drawing>
          <wp:inline distT="0" distB="0" distL="0" distR="0">
            <wp:extent cx="1924050" cy="1304290"/>
            <wp:effectExtent l="19050" t="0" r="0" b="0"/>
            <wp:docPr id="8" name="图片 8" descr="..\..\..\图片\新建文件夹\1000\1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新建文件夹\1000\100003.tif"/>
                    <pic:cNvPicPr>
                      <a:picLocks noChangeAspect="1" noChangeArrowheads="1"/>
                    </pic:cNvPicPr>
                  </pic:nvPicPr>
                  <pic:blipFill>
                    <a:blip r:embed="rId17" cstate="print"/>
                    <a:srcRect/>
                    <a:stretch>
                      <a:fillRect/>
                    </a:stretch>
                  </pic:blipFill>
                  <pic:spPr bwMode="auto">
                    <a:xfrm>
                      <a:off x="0" y="0"/>
                      <a:ext cx="1924050" cy="1304290"/>
                    </a:xfrm>
                    <a:prstGeom prst="rect">
                      <a:avLst/>
                    </a:prstGeom>
                    <a:noFill/>
                    <a:ln w="9525">
                      <a:noFill/>
                      <a:miter lim="800000"/>
                      <a:headEnd/>
                      <a:tailEnd/>
                    </a:ln>
                  </pic:spPr>
                </pic:pic>
              </a:graphicData>
            </a:graphic>
          </wp:inline>
        </w:drawing>
      </w:r>
    </w:p>
    <w:p w:rsidR="00054332" w:rsidRDefault="00054332" w:rsidP="00054332">
      <w:pPr>
        <w:pStyle w:val="ae"/>
      </w:pPr>
      <w:proofErr w:type="gramStart"/>
      <w:r>
        <w:t xml:space="preserve">Fig.3 </w:t>
      </w:r>
      <w:r>
        <w:rPr>
          <w:rFonts w:hint="eastAsia"/>
        </w:rPr>
        <w:t xml:space="preserve"> </w:t>
      </w:r>
      <w:r>
        <w:t>Procedure</w:t>
      </w:r>
      <w:proofErr w:type="gramEnd"/>
      <w:r>
        <w:t xml:space="preserve"> of frozen permeability technique</w:t>
      </w:r>
    </w:p>
    <w:p w:rsidR="00054332" w:rsidRDefault="00054332" w:rsidP="00054332">
      <w:pPr>
        <w:ind w:firstLineChars="200" w:firstLine="424"/>
        <w:rPr>
          <w:lang w:val="en-GB"/>
        </w:rPr>
      </w:pPr>
      <w:r>
        <w:rPr>
          <w:lang w:val="en-GB"/>
        </w:rPr>
        <w:t>Although the illustration in Fig.2 is based on a PM machine, the FP technique is applicable to all types of electrical machines. Also the selected excitations for the linear calculations can be tailored according to investigated topics. For example, to obtain the on-load PM or armature magnetic field component in PM machines</w:t>
      </w:r>
      <w:r>
        <w:rPr>
          <w:rFonts w:hint="eastAsia"/>
          <w:lang w:val="en-GB"/>
        </w:rPr>
        <w:t>,</w:t>
      </w:r>
      <w:r>
        <w:rPr>
          <w:lang w:val="en-GB"/>
        </w:rPr>
        <w:t xml:space="preserve"> only the PM or armature excitation is applied in the linear </w:t>
      </w:r>
      <w:proofErr w:type="gramStart"/>
      <w:r>
        <w:rPr>
          <w:lang w:val="en-GB"/>
        </w:rPr>
        <w:t>calculation</w:t>
      </w:r>
      <w:r>
        <w:rPr>
          <w:vertAlign w:val="superscript"/>
          <w:lang w:val="en-GB"/>
        </w:rPr>
        <w:t>[</w:t>
      </w:r>
      <w:proofErr w:type="gramEnd"/>
      <w:r>
        <w:rPr>
          <w:vertAlign w:val="superscript"/>
          <w:lang w:val="en-GB"/>
        </w:rPr>
        <w:t>13,16]</w:t>
      </w:r>
      <w:r>
        <w:rPr>
          <w:rFonts w:hint="eastAsia"/>
          <w:lang w:val="en-GB"/>
        </w:rPr>
        <w:t>.</w:t>
      </w:r>
      <w:r>
        <w:rPr>
          <w:lang w:val="en-GB"/>
        </w:rPr>
        <w:t xml:space="preserve"> To study the cross-coupling inductances between the d</w:t>
      </w:r>
      <w:r>
        <w:rPr>
          <w:rFonts w:hint="eastAsia"/>
          <w:lang w:val="en-GB"/>
        </w:rPr>
        <w:t>-</w:t>
      </w:r>
      <w:r>
        <w:rPr>
          <w:lang w:val="en-GB"/>
        </w:rPr>
        <w:t xml:space="preserve"> and q-axes in PM machines, only the d</w:t>
      </w:r>
      <w:r>
        <w:rPr>
          <w:rFonts w:hint="eastAsia"/>
          <w:lang w:val="en-GB"/>
        </w:rPr>
        <w:t>-</w:t>
      </w:r>
      <w:r>
        <w:rPr>
          <w:lang w:val="en-GB"/>
        </w:rPr>
        <w:t xml:space="preserve"> or q-axis current is </w:t>
      </w:r>
      <w:proofErr w:type="gramStart"/>
      <w:r>
        <w:rPr>
          <w:lang w:val="en-GB"/>
        </w:rPr>
        <w:t>applied</w:t>
      </w:r>
      <w:r>
        <w:rPr>
          <w:vertAlign w:val="superscript"/>
          <w:lang w:val="en-GB"/>
        </w:rPr>
        <w:t>[</w:t>
      </w:r>
      <w:proofErr w:type="gramEnd"/>
      <w:r>
        <w:rPr>
          <w:vertAlign w:val="superscript"/>
          <w:lang w:val="en-GB"/>
        </w:rPr>
        <w:t>13</w:t>
      </w:r>
      <w:r>
        <w:rPr>
          <w:rFonts w:hint="eastAsia"/>
          <w:vertAlign w:val="superscript"/>
          <w:lang w:val="en-GB"/>
        </w:rPr>
        <w:t>,</w:t>
      </w:r>
      <w:r>
        <w:rPr>
          <w:vertAlign w:val="superscript"/>
          <w:lang w:val="en-GB"/>
        </w:rPr>
        <w:t>16]</w:t>
      </w:r>
      <w:r>
        <w:rPr>
          <w:rFonts w:hint="eastAsia"/>
          <w:lang w:val="en-GB"/>
        </w:rPr>
        <w:t>.</w:t>
      </w:r>
      <w:r>
        <w:rPr>
          <w:lang w:val="en-GB"/>
        </w:rPr>
        <w:t xml:space="preserve"> To investigate the mutual coupling between phases in SR machines, only one phase current is </w:t>
      </w:r>
      <w:proofErr w:type="gramStart"/>
      <w:r>
        <w:rPr>
          <w:lang w:val="en-GB"/>
        </w:rPr>
        <w:t>applied</w:t>
      </w:r>
      <w:r>
        <w:rPr>
          <w:vertAlign w:val="superscript"/>
          <w:lang w:val="en-GB"/>
        </w:rPr>
        <w:t>[</w:t>
      </w:r>
      <w:proofErr w:type="gramEnd"/>
      <w:r>
        <w:rPr>
          <w:vertAlign w:val="superscript"/>
          <w:lang w:val="en-GB"/>
        </w:rPr>
        <w:t>17]</w:t>
      </w:r>
      <w:r>
        <w:rPr>
          <w:lang w:val="en-GB"/>
        </w:rPr>
        <w:t xml:space="preserve">. </w:t>
      </w:r>
    </w:p>
    <w:p w:rsidR="00054332" w:rsidRDefault="00054332" w:rsidP="00054332">
      <w:pPr>
        <w:ind w:firstLineChars="200" w:firstLine="424"/>
        <w:rPr>
          <w:lang w:val="en-GB"/>
        </w:rPr>
      </w:pPr>
      <w:r>
        <w:rPr>
          <w:lang w:val="en-GB"/>
        </w:rPr>
        <w:t>The major challenge for the FP technique is the experimental validation, since the exact quantities that are calculated in the FP technique cannot be measured directly. Although it is tried in Ref</w:t>
      </w:r>
      <w:proofErr w:type="gramStart"/>
      <w:r>
        <w:rPr>
          <w:lang w:val="en-GB"/>
        </w:rPr>
        <w:t>.[</w:t>
      </w:r>
      <w:proofErr w:type="gramEnd"/>
      <w:r>
        <w:rPr>
          <w:lang w:val="en-GB"/>
        </w:rPr>
        <w:t>18], various further work on experimental validation needs to be done. However, on the other hand, the FP technique has been widely accepted based on the fundamental magnetic circuit theory and used for on-load magnetic field separation and parameter predictions in various types of electrical machines.</w:t>
      </w:r>
    </w:p>
    <w:p w:rsidR="00054332" w:rsidRDefault="00054332" w:rsidP="00054332">
      <w:pPr>
        <w:ind w:firstLineChars="200" w:firstLine="424"/>
      </w:pPr>
      <w:r>
        <w:rPr>
          <w:lang w:val="en-GB"/>
        </w:rPr>
        <w:t xml:space="preserve">In following sections, the applications of the FP technique are comprehensively reviewed. </w:t>
      </w:r>
      <w:proofErr w:type="gramStart"/>
      <w:r>
        <w:rPr>
          <w:lang w:val="en-GB"/>
        </w:rPr>
        <w:t xml:space="preserve">Since the most of the applications are on different technical topics of PM machines, only one of following sections </w:t>
      </w:r>
      <w:r>
        <w:rPr>
          <w:lang w:val="en-GB"/>
        </w:rPr>
        <w:lastRenderedPageBreak/>
        <w:t>is focused on the applications on the other types of machines and will presented at the end.</w:t>
      </w:r>
      <w:proofErr w:type="gramEnd"/>
      <w:r>
        <w:rPr>
          <w:lang w:val="en-GB"/>
        </w:rPr>
        <w:t xml:space="preserve"> For the rest sections, the publications are grouped according to different research topics, such as on-load magnetic field separation, on-load flux linkages and inductance calculation, torque component separation, et al. </w:t>
      </w:r>
    </w:p>
    <w:p w:rsidR="00054332" w:rsidRDefault="00054332" w:rsidP="00054332">
      <w:pPr>
        <w:pStyle w:val="3"/>
      </w:pPr>
      <w:proofErr w:type="gramStart"/>
      <w:r>
        <w:rPr>
          <w:rFonts w:hint="eastAsia"/>
          <w:bCs/>
        </w:rPr>
        <w:t>2</w:t>
      </w:r>
      <w:r>
        <w:t xml:space="preserve">  On</w:t>
      </w:r>
      <w:proofErr w:type="gramEnd"/>
      <w:r>
        <w:t>-Load Magnetic Field Separation</w:t>
      </w:r>
    </w:p>
    <w:p w:rsidR="00054332" w:rsidRDefault="00054332" w:rsidP="00054332">
      <w:pPr>
        <w:ind w:firstLineChars="200" w:firstLine="424"/>
      </w:pPr>
      <w:r>
        <w:t xml:space="preserve">On-load magnetic field separation is the basic purpose of the FP technique and the foundation for all further investigations. Nearly all investigations using FP technique involve the on-load magnetic field separation, although the on-load magnetic field results may not be presented. </w:t>
      </w:r>
    </w:p>
    <w:p w:rsidR="00054332" w:rsidRDefault="00054332" w:rsidP="00054332">
      <w:pPr>
        <w:ind w:firstLineChars="200" w:firstLine="424"/>
        <w:jc w:val="distribute"/>
      </w:pPr>
      <w:r>
        <w:t>Fig</w:t>
      </w:r>
      <w:r>
        <w:rPr>
          <w:rFonts w:hint="eastAsia"/>
        </w:rPr>
        <w:t>.</w:t>
      </w:r>
      <w:r>
        <w:t>4 and Fig.5 show the on-load magnetic field components of an inset PM machines presented in Ref</w:t>
      </w:r>
      <w:proofErr w:type="gramStart"/>
      <w:r>
        <w:t>.[</w:t>
      </w:r>
      <w:proofErr w:type="gramEnd"/>
      <w:r>
        <w:t xml:space="preserve">19] as an example. The peak phase current </w:t>
      </w:r>
      <w:proofErr w:type="spellStart"/>
      <w:r>
        <w:rPr>
          <w:i/>
          <w:iCs/>
        </w:rPr>
        <w:t>I</w:t>
      </w:r>
      <w:r>
        <w:rPr>
          <w:iCs/>
          <w:vertAlign w:val="subscript"/>
        </w:rPr>
        <w:t>a</w:t>
      </w:r>
      <w:proofErr w:type="spellEnd"/>
      <w:r>
        <w:t xml:space="preserve"> is 4A, the current phase advance angle to the positive q-axis </w:t>
      </w:r>
      <w:r>
        <w:rPr>
          <w:rFonts w:ascii="Symbol" w:hAnsi="Symbol"/>
          <w:i/>
          <w:iCs/>
        </w:rPr>
        <w:t></w:t>
      </w:r>
      <w:r>
        <w:rPr>
          <w:i/>
        </w:rPr>
        <w:t>=</w:t>
      </w:r>
      <w:r>
        <w:rPr>
          <w:rFonts w:hint="eastAsia"/>
        </w:rPr>
        <w:t>0</w:t>
      </w:r>
      <w:r>
        <w:rPr>
          <w:rFonts w:ascii="Times" w:hAnsi="Times" w:hint="eastAsia"/>
          <w:spacing w:val="-60"/>
        </w:rPr>
        <w:t>°</w:t>
      </w:r>
      <w:r>
        <w:t xml:space="preserve">and the rotor position </w:t>
      </w:r>
      <w:r>
        <w:rPr>
          <w:rFonts w:ascii="Symbol" w:hAnsi="Symbol"/>
          <w:i/>
          <w:iCs/>
        </w:rPr>
        <w:t></w:t>
      </w:r>
      <w:r>
        <w:t xml:space="preserve"> is </w:t>
      </w:r>
      <w:r>
        <w:rPr>
          <w:rFonts w:hint="eastAsia"/>
        </w:rPr>
        <w:t>0</w:t>
      </w:r>
      <w:r>
        <w:rPr>
          <w:rFonts w:ascii="Times" w:hAnsi="Times" w:hint="eastAsia"/>
          <w:spacing w:val="-60"/>
        </w:rPr>
        <w:t>°</w:t>
      </w:r>
      <w:r>
        <w:t>(electrical). The main parameters of the inset PM machine are listed in Tab</w:t>
      </w:r>
      <w:r>
        <w:rPr>
          <w:rFonts w:hint="eastAsia"/>
        </w:rPr>
        <w:t>.</w:t>
      </w:r>
      <w:r>
        <w:t xml:space="preserve">1. It can be seen that the on-load magnetic field and permeability distributions in Fig.4 are neither symmetrical with the d-axis nor with the q-axis. This is due to the influence of armature field. Consequently, the on-load PM magnetic field with the </w:t>
      </w:r>
    </w:p>
    <w:p w:rsidR="00054332" w:rsidRDefault="00054332" w:rsidP="00C6215D">
      <w:pPr>
        <w:tabs>
          <w:tab w:val="left" w:pos="2267"/>
          <w:tab w:val="left" w:pos="4888"/>
        </w:tabs>
        <w:snapToGrid w:val="0"/>
        <w:spacing w:beforeLines="20"/>
        <w:jc w:val="center"/>
        <w:rPr>
          <w:sz w:val="15"/>
        </w:rPr>
      </w:pPr>
      <w:r>
        <w:rPr>
          <w:rFonts w:hint="eastAsia"/>
          <w:noProof/>
          <w:sz w:val="15"/>
        </w:rPr>
        <w:drawing>
          <wp:inline distT="0" distB="0" distL="0" distR="0">
            <wp:extent cx="2910205" cy="1534795"/>
            <wp:effectExtent l="19050" t="0" r="4445" b="0"/>
            <wp:docPr id="9" name="图片 9" descr="出片图片\1000\100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出片图片\1000\100004a.tif"/>
                    <pic:cNvPicPr>
                      <a:picLocks noChangeAspect="1" noChangeArrowheads="1"/>
                    </pic:cNvPicPr>
                  </pic:nvPicPr>
                  <pic:blipFill>
                    <a:blip r:embed="rId18" cstate="print">
                      <a:grayscl/>
                    </a:blip>
                    <a:srcRect/>
                    <a:stretch>
                      <a:fillRect/>
                    </a:stretch>
                  </pic:blipFill>
                  <pic:spPr bwMode="auto">
                    <a:xfrm>
                      <a:off x="0" y="0"/>
                      <a:ext cx="2910205" cy="1534795"/>
                    </a:xfrm>
                    <a:prstGeom prst="rect">
                      <a:avLst/>
                    </a:prstGeom>
                    <a:noFill/>
                    <a:ln w="9525">
                      <a:noFill/>
                      <a:miter lim="800000"/>
                      <a:headEnd/>
                      <a:tailEnd/>
                    </a:ln>
                  </pic:spPr>
                </pic:pic>
              </a:graphicData>
            </a:graphic>
          </wp:inline>
        </w:drawing>
      </w:r>
    </w:p>
    <w:p w:rsidR="00054332" w:rsidRDefault="00054332" w:rsidP="00054332">
      <w:pPr>
        <w:rPr>
          <w:sz w:val="15"/>
        </w:rPr>
      </w:pPr>
      <w:r>
        <w:rPr>
          <w:sz w:val="15"/>
        </w:rPr>
        <w:t xml:space="preserve">(a) Whole field (PM and current) </w:t>
      </w:r>
      <w:r>
        <w:rPr>
          <w:rFonts w:hint="eastAsia"/>
          <w:sz w:val="15"/>
        </w:rPr>
        <w:t xml:space="preserve">     </w:t>
      </w:r>
      <w:r>
        <w:rPr>
          <w:sz w:val="15"/>
        </w:rPr>
        <w:t>(b) On-load permeability</w:t>
      </w:r>
    </w:p>
    <w:p w:rsidR="00054332" w:rsidRDefault="00054332" w:rsidP="00054332">
      <w:pPr>
        <w:snapToGrid w:val="0"/>
        <w:jc w:val="center"/>
        <w:rPr>
          <w:sz w:val="15"/>
        </w:rPr>
      </w:pPr>
      <w:r>
        <w:rPr>
          <w:rFonts w:hint="eastAsia"/>
          <w:noProof/>
          <w:sz w:val="15"/>
        </w:rPr>
        <w:drawing>
          <wp:inline distT="0" distB="0" distL="0" distR="0">
            <wp:extent cx="2846705" cy="1399540"/>
            <wp:effectExtent l="19050" t="0" r="0" b="0"/>
            <wp:docPr id="10" name="图片 10" descr="..\..\..\图片\新建文件夹\1000\100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新建文件夹\1000\100004b.tif"/>
                    <pic:cNvPicPr>
                      <a:picLocks noChangeAspect="1" noChangeArrowheads="1"/>
                    </pic:cNvPicPr>
                  </pic:nvPicPr>
                  <pic:blipFill>
                    <a:blip r:embed="rId19" cstate="print"/>
                    <a:srcRect/>
                    <a:stretch>
                      <a:fillRect/>
                    </a:stretch>
                  </pic:blipFill>
                  <pic:spPr bwMode="auto">
                    <a:xfrm>
                      <a:off x="0" y="0"/>
                      <a:ext cx="2846705" cy="1399540"/>
                    </a:xfrm>
                    <a:prstGeom prst="rect">
                      <a:avLst/>
                    </a:prstGeom>
                    <a:noFill/>
                    <a:ln w="9525">
                      <a:noFill/>
                      <a:miter lim="800000"/>
                      <a:headEnd/>
                      <a:tailEnd/>
                    </a:ln>
                  </pic:spPr>
                </pic:pic>
              </a:graphicData>
            </a:graphic>
          </wp:inline>
        </w:drawing>
      </w:r>
    </w:p>
    <w:p w:rsidR="00054332" w:rsidRDefault="00054332" w:rsidP="00054332">
      <w:pPr>
        <w:rPr>
          <w:sz w:val="15"/>
        </w:rPr>
      </w:pPr>
      <w:r>
        <w:rPr>
          <w:sz w:val="15"/>
        </w:rPr>
        <w:t xml:space="preserve">(c) On-load PM </w:t>
      </w:r>
      <w:proofErr w:type="gramStart"/>
      <w:r>
        <w:rPr>
          <w:sz w:val="15"/>
        </w:rPr>
        <w:t>field</w:t>
      </w:r>
      <w:proofErr w:type="gramEnd"/>
      <w:r>
        <w:rPr>
          <w:sz w:val="15"/>
        </w:rPr>
        <w:t xml:space="preserve"> (FP)</w:t>
      </w:r>
      <w:r>
        <w:rPr>
          <w:rFonts w:hint="eastAsia"/>
          <w:sz w:val="15"/>
        </w:rPr>
        <w:t xml:space="preserve">       </w:t>
      </w:r>
      <w:r>
        <w:rPr>
          <w:sz w:val="15"/>
        </w:rPr>
        <w:t>(d) On-load armature field (FP)</w:t>
      </w:r>
    </w:p>
    <w:p w:rsidR="00054332" w:rsidRDefault="00054332" w:rsidP="00054332">
      <w:pPr>
        <w:pStyle w:val="ae"/>
      </w:pPr>
      <w:r>
        <w:t xml:space="preserve">Fig.4 </w:t>
      </w:r>
      <w:r>
        <w:rPr>
          <w:rFonts w:hint="eastAsia"/>
        </w:rPr>
        <w:t xml:space="preserve"> </w:t>
      </w:r>
      <w:r>
        <w:t xml:space="preserve">On-load field distributions of inset PM machine when </w:t>
      </w:r>
      <w:proofErr w:type="spellStart"/>
      <w:r>
        <w:rPr>
          <w:i/>
          <w:iCs/>
        </w:rPr>
        <w:t>I</w:t>
      </w:r>
      <w:r>
        <w:rPr>
          <w:iCs/>
          <w:vertAlign w:val="subscript"/>
        </w:rPr>
        <w:t>a</w:t>
      </w:r>
      <w:proofErr w:type="spellEnd"/>
      <w:r>
        <w:t xml:space="preserve">=4A, </w:t>
      </w:r>
      <w:r>
        <w:rPr>
          <w:rFonts w:ascii="Symbol" w:hAnsi="Symbol"/>
          <w:i/>
          <w:iCs/>
        </w:rPr>
        <w:t></w:t>
      </w:r>
      <w:r>
        <w:rPr>
          <w:i/>
        </w:rPr>
        <w:t>=</w:t>
      </w:r>
      <w:r>
        <w:rPr>
          <w:rFonts w:hint="eastAsia"/>
        </w:rPr>
        <w:t>0</w:t>
      </w:r>
      <w:r>
        <w:rPr>
          <w:rFonts w:hint="eastAsia"/>
          <w:spacing w:val="-60"/>
          <w:lang w:val="en-GB"/>
        </w:rPr>
        <w:t>°</w:t>
      </w:r>
      <w:r>
        <w:t xml:space="preserve"> and </w:t>
      </w:r>
      <w:r>
        <w:rPr>
          <w:rFonts w:ascii="Symbol" w:hAnsi="Symbol"/>
          <w:i/>
          <w:iCs/>
        </w:rPr>
        <w:t></w:t>
      </w:r>
      <w:r>
        <w:rPr>
          <w:rFonts w:ascii="Symbol" w:hAnsi="Symbol"/>
          <w:i/>
          <w:iCs/>
        </w:rPr>
        <w:t></w:t>
      </w:r>
      <w:r>
        <w:rPr>
          <w:lang w:val="en-GB"/>
        </w:rPr>
        <w:t>=</w:t>
      </w:r>
      <w:r>
        <w:t>0</w:t>
      </w:r>
      <w:r>
        <w:rPr>
          <w:rFonts w:hint="eastAsia"/>
          <w:spacing w:val="-60"/>
          <w:lang w:val="en-GB"/>
        </w:rPr>
        <w:t>°</w:t>
      </w:r>
      <w:r>
        <w:rPr>
          <w:vertAlign w:val="superscript"/>
        </w:rPr>
        <w:t>[19]</w:t>
      </w:r>
    </w:p>
    <w:p w:rsidR="00054332" w:rsidRDefault="00054332" w:rsidP="00054332">
      <w:pPr>
        <w:jc w:val="center"/>
        <w:rPr>
          <w:sz w:val="15"/>
        </w:rPr>
      </w:pPr>
      <w:r>
        <w:rPr>
          <w:noProof/>
          <w:sz w:val="15"/>
        </w:rPr>
        <w:lastRenderedPageBreak/>
        <w:drawing>
          <wp:inline distT="0" distB="0" distL="0" distR="0">
            <wp:extent cx="2822575" cy="1709420"/>
            <wp:effectExtent l="19050" t="0" r="0" b="0"/>
            <wp:docPr id="11" name="图片 11" descr="出片图片\1000\1000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出片图片\1000\100005a.tif"/>
                    <pic:cNvPicPr>
                      <a:picLocks noChangeAspect="1" noChangeArrowheads="1"/>
                    </pic:cNvPicPr>
                  </pic:nvPicPr>
                  <pic:blipFill>
                    <a:blip r:embed="rId20" cstate="print">
                      <a:grayscl/>
                    </a:blip>
                    <a:srcRect/>
                    <a:stretch>
                      <a:fillRect/>
                    </a:stretch>
                  </pic:blipFill>
                  <pic:spPr bwMode="auto">
                    <a:xfrm>
                      <a:off x="0" y="0"/>
                      <a:ext cx="282257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Radial flux density components</w:t>
      </w:r>
    </w:p>
    <w:p w:rsidR="00054332" w:rsidRDefault="00054332" w:rsidP="00C6215D">
      <w:pPr>
        <w:spacing w:beforeLines="20"/>
        <w:jc w:val="center"/>
        <w:rPr>
          <w:sz w:val="15"/>
        </w:rPr>
      </w:pPr>
      <w:r>
        <w:rPr>
          <w:noProof/>
          <w:sz w:val="15"/>
        </w:rPr>
        <w:drawing>
          <wp:inline distT="0" distB="0" distL="0" distR="0">
            <wp:extent cx="2822575" cy="1725295"/>
            <wp:effectExtent l="19050" t="0" r="0" b="0"/>
            <wp:docPr id="12" name="图片 12" descr="出片图片\1000\10000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出片图片\1000\100005b.tif"/>
                    <pic:cNvPicPr>
                      <a:picLocks noChangeAspect="1" noChangeArrowheads="1"/>
                    </pic:cNvPicPr>
                  </pic:nvPicPr>
                  <pic:blipFill>
                    <a:blip r:embed="rId21" cstate="print">
                      <a:grayscl/>
                    </a:blip>
                    <a:srcRect/>
                    <a:stretch>
                      <a:fillRect/>
                    </a:stretch>
                  </pic:blipFill>
                  <pic:spPr bwMode="auto">
                    <a:xfrm>
                      <a:off x="0" y="0"/>
                      <a:ext cx="2822575" cy="1725295"/>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(b) Tangential flux density components</w:t>
      </w:r>
    </w:p>
    <w:p w:rsidR="00054332" w:rsidRDefault="00054332" w:rsidP="00054332">
      <w:pPr>
        <w:pStyle w:val="ae"/>
      </w:pPr>
      <w:r>
        <w:t xml:space="preserve">Fig.5 </w:t>
      </w:r>
      <w:r>
        <w:rPr>
          <w:rFonts w:hint="eastAsia"/>
        </w:rPr>
        <w:t xml:space="preserve"> </w:t>
      </w:r>
      <w:r>
        <w:t>Flux density comp</w:t>
      </w:r>
      <w:r>
        <w:rPr>
          <w:szCs w:val="24"/>
        </w:rPr>
        <w:t>o</w:t>
      </w:r>
      <w:r>
        <w:t xml:space="preserve">nents at middle of </w:t>
      </w:r>
      <w:proofErr w:type="spellStart"/>
      <w:r>
        <w:t>airgap</w:t>
      </w:r>
      <w:proofErr w:type="spellEnd"/>
      <w:r>
        <w:t xml:space="preserve"> of inset PM machine when </w:t>
      </w:r>
      <w:proofErr w:type="spellStart"/>
      <w:r>
        <w:rPr>
          <w:i/>
          <w:iCs/>
        </w:rPr>
        <w:t>I</w:t>
      </w:r>
      <w:r>
        <w:rPr>
          <w:iCs/>
          <w:vertAlign w:val="subscript"/>
        </w:rPr>
        <w:t>a</w:t>
      </w:r>
      <w:proofErr w:type="spellEnd"/>
      <w:r>
        <w:t xml:space="preserve">=4A, </w:t>
      </w:r>
      <w:r>
        <w:rPr>
          <w:rFonts w:ascii="Symbol" w:hAnsi="Symbol"/>
          <w:i/>
          <w:iCs/>
        </w:rPr>
        <w:t></w:t>
      </w:r>
      <w:r>
        <w:rPr>
          <w:i/>
        </w:rPr>
        <w:t>=</w:t>
      </w:r>
      <w:r>
        <w:rPr>
          <w:rFonts w:hint="eastAsia"/>
        </w:rPr>
        <w:t>0</w:t>
      </w:r>
      <w:r>
        <w:rPr>
          <w:rFonts w:hint="eastAsia"/>
          <w:spacing w:val="-60"/>
          <w:lang w:val="en-GB"/>
        </w:rPr>
        <w:t>°</w:t>
      </w:r>
      <w:r>
        <w:t xml:space="preserve"> and </w:t>
      </w:r>
      <w:r>
        <w:rPr>
          <w:rFonts w:ascii="Symbol" w:hAnsi="Symbol"/>
          <w:i/>
          <w:iCs/>
        </w:rPr>
        <w:t></w:t>
      </w:r>
      <w:r>
        <w:rPr>
          <w:rFonts w:ascii="Symbol" w:hAnsi="Symbol"/>
          <w:i/>
          <w:iCs/>
        </w:rPr>
        <w:t></w:t>
      </w:r>
      <w:r>
        <w:rPr>
          <w:lang w:val="en-GB"/>
        </w:rPr>
        <w:t>=</w:t>
      </w:r>
      <w:r>
        <w:t>0</w:t>
      </w:r>
      <w:r>
        <w:rPr>
          <w:rFonts w:hint="eastAsia"/>
          <w:spacing w:val="-60"/>
          <w:lang w:val="en-GB"/>
        </w:rPr>
        <w:t>°</w:t>
      </w:r>
      <w:r>
        <w:rPr>
          <w:vertAlign w:val="superscript"/>
        </w:rPr>
        <w:t>[19]</w:t>
      </w:r>
    </w:p>
    <w:p w:rsidR="00054332" w:rsidRDefault="00054332" w:rsidP="00054332">
      <w:pPr>
        <w:pStyle w:val="a"/>
      </w:pPr>
      <w:r>
        <w:t>Tab.1  Main parameters of inset PM machine in Ref</w:t>
      </w:r>
      <w:r>
        <w:rPr>
          <w:rFonts w:eastAsia="宋体"/>
        </w:rPr>
        <w:t>.</w:t>
      </w:r>
      <w:r>
        <w:t xml:space="preserve">[19] </w:t>
      </w:r>
    </w:p>
    <w:tbl>
      <w:tblPr>
        <w:tblW w:w="4649" w:type="dxa"/>
        <w:jc w:val="center"/>
        <w:tblBorders>
          <w:top w:val="single" w:sz="8" w:space="0" w:color="auto"/>
          <w:bottom w:val="single" w:sz="8" w:space="0" w:color="auto"/>
        </w:tblBorders>
        <w:tblLayout w:type="fixed"/>
        <w:tblLook w:val="0000"/>
      </w:tblPr>
      <w:tblGrid>
        <w:gridCol w:w="3088"/>
        <w:gridCol w:w="1561"/>
      </w:tblGrid>
      <w:tr w:rsidR="00054332" w:rsidTr="003351D5">
        <w:trPr>
          <w:jc w:val="center"/>
        </w:trPr>
        <w:tc>
          <w:tcPr>
            <w:tcW w:w="2802" w:type="dxa"/>
            <w:tcBorders>
              <w:bottom w:val="single" w:sz="4" w:space="0" w:color="auto"/>
            </w:tcBorders>
            <w:vAlign w:val="center"/>
          </w:tcPr>
          <w:p w:rsidR="00054332" w:rsidRDefault="00054332" w:rsidP="003351D5">
            <w:pPr>
              <w:jc w:val="center"/>
              <w:rPr>
                <w:sz w:val="15"/>
              </w:rPr>
            </w:pPr>
            <w:r>
              <w:rPr>
                <w:sz w:val="15"/>
              </w:rPr>
              <w:t>Parameters</w:t>
            </w:r>
          </w:p>
        </w:tc>
        <w:tc>
          <w:tcPr>
            <w:tcW w:w="1417" w:type="dxa"/>
            <w:tcBorders>
              <w:bottom w:val="single" w:sz="4" w:space="0" w:color="auto"/>
            </w:tcBorders>
            <w:vAlign w:val="center"/>
          </w:tcPr>
          <w:p w:rsidR="00054332" w:rsidRDefault="00054332" w:rsidP="003351D5">
            <w:pPr>
              <w:jc w:val="center"/>
              <w:rPr>
                <w:sz w:val="15"/>
              </w:rPr>
            </w:pPr>
            <w:r>
              <w:rPr>
                <w:sz w:val="15"/>
              </w:rPr>
              <w:t>Value</w:t>
            </w:r>
          </w:p>
        </w:tc>
      </w:tr>
      <w:tr w:rsidR="00054332" w:rsidTr="003351D5">
        <w:trPr>
          <w:jc w:val="center"/>
        </w:trPr>
        <w:tc>
          <w:tcPr>
            <w:tcW w:w="2802" w:type="dxa"/>
            <w:tcBorders>
              <w:top w:val="single" w:sz="4" w:space="0" w:color="auto"/>
              <w:bottom w:val="nil"/>
            </w:tcBorders>
            <w:vAlign w:val="center"/>
          </w:tcPr>
          <w:p w:rsidR="00054332" w:rsidRDefault="00054332" w:rsidP="003351D5">
            <w:pPr>
              <w:pStyle w:val="af"/>
              <w:rPr>
                <w:rFonts w:eastAsia="宋体"/>
                <w:kern w:val="20"/>
                <w:szCs w:val="24"/>
              </w:rPr>
            </w:pPr>
            <w:r>
              <w:rPr>
                <w:rFonts w:eastAsia="宋体"/>
                <w:kern w:val="20"/>
                <w:szCs w:val="24"/>
              </w:rPr>
              <w:t>Outer diameter/mm</w:t>
            </w:r>
          </w:p>
        </w:tc>
        <w:tc>
          <w:tcPr>
            <w:tcW w:w="1417" w:type="dxa"/>
            <w:tcBorders>
              <w:top w:val="single" w:sz="4" w:space="0" w:color="auto"/>
              <w:bottom w:val="nil"/>
            </w:tcBorders>
            <w:vAlign w:val="center"/>
          </w:tcPr>
          <w:p w:rsidR="00054332" w:rsidRDefault="00054332" w:rsidP="003351D5">
            <w:pPr>
              <w:jc w:val="center"/>
              <w:rPr>
                <w:sz w:val="15"/>
              </w:rPr>
            </w:pPr>
            <w:r>
              <w:rPr>
                <w:sz w:val="15"/>
              </w:rPr>
              <w:t>106</w:t>
            </w:r>
          </w:p>
        </w:tc>
      </w:tr>
      <w:tr w:rsidR="00054332" w:rsidTr="003351D5">
        <w:trPr>
          <w:jc w:val="center"/>
        </w:trPr>
        <w:tc>
          <w:tcPr>
            <w:tcW w:w="2802" w:type="dxa"/>
            <w:tcBorders>
              <w:top w:val="nil"/>
            </w:tcBorders>
            <w:vAlign w:val="center"/>
          </w:tcPr>
          <w:p w:rsidR="00054332" w:rsidRDefault="00054332" w:rsidP="003351D5">
            <w:pPr>
              <w:jc w:val="center"/>
              <w:rPr>
                <w:sz w:val="15"/>
              </w:rPr>
            </w:pPr>
            <w:r>
              <w:rPr>
                <w:sz w:val="15"/>
              </w:rPr>
              <w:t>Stator inner diameter/mm</w:t>
            </w:r>
          </w:p>
        </w:tc>
        <w:tc>
          <w:tcPr>
            <w:tcW w:w="1417" w:type="dxa"/>
            <w:tcBorders>
              <w:top w:val="nil"/>
            </w:tcBorders>
            <w:vAlign w:val="center"/>
          </w:tcPr>
          <w:p w:rsidR="00054332" w:rsidRDefault="00054332" w:rsidP="003351D5">
            <w:pPr>
              <w:jc w:val="center"/>
              <w:rPr>
                <w:sz w:val="15"/>
              </w:rPr>
            </w:pPr>
            <w:r>
              <w:rPr>
                <w:sz w:val="15"/>
              </w:rPr>
              <w:t>62</w:t>
            </w:r>
          </w:p>
        </w:tc>
      </w:tr>
      <w:tr w:rsidR="00054332" w:rsidTr="003351D5">
        <w:trPr>
          <w:jc w:val="center"/>
        </w:trPr>
        <w:tc>
          <w:tcPr>
            <w:tcW w:w="2802" w:type="dxa"/>
            <w:vAlign w:val="center"/>
          </w:tcPr>
          <w:p w:rsidR="00054332" w:rsidRDefault="00054332" w:rsidP="003351D5">
            <w:pPr>
              <w:jc w:val="center"/>
              <w:rPr>
                <w:sz w:val="15"/>
              </w:rPr>
            </w:pPr>
            <w:r>
              <w:rPr>
                <w:sz w:val="15"/>
              </w:rPr>
              <w:t>Pole number</w:t>
            </w:r>
          </w:p>
        </w:tc>
        <w:tc>
          <w:tcPr>
            <w:tcW w:w="1417" w:type="dxa"/>
            <w:vAlign w:val="center"/>
          </w:tcPr>
          <w:p w:rsidR="00054332" w:rsidRDefault="00054332" w:rsidP="003351D5">
            <w:pPr>
              <w:jc w:val="center"/>
              <w:rPr>
                <w:sz w:val="15"/>
              </w:rPr>
            </w:pPr>
            <w:r>
              <w:rPr>
                <w:sz w:val="15"/>
              </w:rPr>
              <w:t>6</w:t>
            </w:r>
          </w:p>
        </w:tc>
      </w:tr>
      <w:tr w:rsidR="00054332" w:rsidTr="003351D5">
        <w:trPr>
          <w:jc w:val="center"/>
        </w:trPr>
        <w:tc>
          <w:tcPr>
            <w:tcW w:w="2802" w:type="dxa"/>
            <w:vAlign w:val="center"/>
          </w:tcPr>
          <w:p w:rsidR="00054332" w:rsidRDefault="00054332" w:rsidP="003351D5">
            <w:pPr>
              <w:jc w:val="center"/>
              <w:rPr>
                <w:sz w:val="15"/>
              </w:rPr>
            </w:pPr>
            <w:r>
              <w:rPr>
                <w:sz w:val="15"/>
              </w:rPr>
              <w:t>Slot number</w:t>
            </w:r>
          </w:p>
        </w:tc>
        <w:tc>
          <w:tcPr>
            <w:tcW w:w="1417" w:type="dxa"/>
            <w:vAlign w:val="center"/>
          </w:tcPr>
          <w:p w:rsidR="00054332" w:rsidRDefault="00054332" w:rsidP="003351D5">
            <w:pPr>
              <w:jc w:val="center"/>
              <w:rPr>
                <w:sz w:val="15"/>
              </w:rPr>
            </w:pPr>
            <w:r>
              <w:rPr>
                <w:sz w:val="15"/>
              </w:rPr>
              <w:t>18</w:t>
            </w:r>
          </w:p>
        </w:tc>
      </w:tr>
      <w:tr w:rsidR="00054332" w:rsidTr="003351D5">
        <w:trPr>
          <w:jc w:val="center"/>
        </w:trPr>
        <w:tc>
          <w:tcPr>
            <w:tcW w:w="2802" w:type="dxa"/>
            <w:vAlign w:val="center"/>
          </w:tcPr>
          <w:p w:rsidR="00054332" w:rsidRDefault="00054332" w:rsidP="003351D5">
            <w:pPr>
              <w:jc w:val="center"/>
              <w:rPr>
                <w:sz w:val="15"/>
              </w:rPr>
            </w:pPr>
            <w:proofErr w:type="spellStart"/>
            <w:r>
              <w:rPr>
                <w:sz w:val="15"/>
              </w:rPr>
              <w:t>Airgap</w:t>
            </w:r>
            <w:proofErr w:type="spellEnd"/>
            <w:r>
              <w:rPr>
                <w:sz w:val="15"/>
              </w:rPr>
              <w:t xml:space="preserve"> length/mm</w:t>
            </w:r>
          </w:p>
        </w:tc>
        <w:tc>
          <w:tcPr>
            <w:tcW w:w="1417" w:type="dxa"/>
            <w:vAlign w:val="center"/>
          </w:tcPr>
          <w:p w:rsidR="00054332" w:rsidRDefault="00054332" w:rsidP="003351D5">
            <w:pPr>
              <w:jc w:val="center"/>
              <w:rPr>
                <w:sz w:val="15"/>
              </w:rPr>
            </w:pPr>
            <w:r>
              <w:rPr>
                <w:sz w:val="15"/>
              </w:rPr>
              <w:t>0.75</w:t>
            </w:r>
          </w:p>
        </w:tc>
      </w:tr>
      <w:tr w:rsidR="00054332" w:rsidTr="003351D5">
        <w:trPr>
          <w:jc w:val="center"/>
        </w:trPr>
        <w:tc>
          <w:tcPr>
            <w:tcW w:w="2802" w:type="dxa"/>
            <w:vAlign w:val="center"/>
          </w:tcPr>
          <w:p w:rsidR="00054332" w:rsidRDefault="00054332" w:rsidP="003351D5">
            <w:pPr>
              <w:jc w:val="center"/>
              <w:rPr>
                <w:sz w:val="15"/>
              </w:rPr>
            </w:pPr>
            <w:r>
              <w:rPr>
                <w:sz w:val="15"/>
              </w:rPr>
              <w:t>Axial length/mm</w:t>
            </w:r>
          </w:p>
        </w:tc>
        <w:tc>
          <w:tcPr>
            <w:tcW w:w="1417" w:type="dxa"/>
            <w:vAlign w:val="center"/>
          </w:tcPr>
          <w:p w:rsidR="00054332" w:rsidRDefault="00054332" w:rsidP="003351D5">
            <w:pPr>
              <w:jc w:val="center"/>
              <w:rPr>
                <w:sz w:val="15"/>
              </w:rPr>
            </w:pPr>
            <w:r>
              <w:rPr>
                <w:sz w:val="15"/>
              </w:rPr>
              <w:t>30</w:t>
            </w:r>
          </w:p>
        </w:tc>
      </w:tr>
      <w:tr w:rsidR="00054332" w:rsidTr="003351D5">
        <w:trPr>
          <w:jc w:val="center"/>
        </w:trPr>
        <w:tc>
          <w:tcPr>
            <w:tcW w:w="2802" w:type="dxa"/>
            <w:vAlign w:val="center"/>
          </w:tcPr>
          <w:p w:rsidR="00054332" w:rsidRDefault="00054332" w:rsidP="003351D5">
            <w:pPr>
              <w:jc w:val="center"/>
              <w:rPr>
                <w:sz w:val="15"/>
              </w:rPr>
            </w:pPr>
            <w:r>
              <w:rPr>
                <w:sz w:val="15"/>
              </w:rPr>
              <w:t>Number of turns per phase</w:t>
            </w:r>
          </w:p>
        </w:tc>
        <w:tc>
          <w:tcPr>
            <w:tcW w:w="1417" w:type="dxa"/>
            <w:vAlign w:val="center"/>
          </w:tcPr>
          <w:p w:rsidR="00054332" w:rsidRDefault="00054332" w:rsidP="003351D5">
            <w:pPr>
              <w:jc w:val="center"/>
              <w:rPr>
                <w:sz w:val="15"/>
              </w:rPr>
            </w:pPr>
            <w:r>
              <w:rPr>
                <w:sz w:val="15"/>
              </w:rPr>
              <w:t>152</w:t>
            </w:r>
          </w:p>
        </w:tc>
      </w:tr>
      <w:tr w:rsidR="00054332" w:rsidTr="003351D5">
        <w:trPr>
          <w:jc w:val="center"/>
        </w:trPr>
        <w:tc>
          <w:tcPr>
            <w:tcW w:w="2802" w:type="dxa"/>
            <w:vAlign w:val="center"/>
          </w:tcPr>
          <w:p w:rsidR="00054332" w:rsidRDefault="00054332" w:rsidP="003351D5">
            <w:pPr>
              <w:jc w:val="center"/>
              <w:rPr>
                <w:sz w:val="15"/>
              </w:rPr>
            </w:pPr>
            <w:r>
              <w:rPr>
                <w:sz w:val="15"/>
              </w:rPr>
              <w:t>Magnet thickness/mm</w:t>
            </w:r>
          </w:p>
        </w:tc>
        <w:tc>
          <w:tcPr>
            <w:tcW w:w="1417" w:type="dxa"/>
            <w:vAlign w:val="center"/>
          </w:tcPr>
          <w:p w:rsidR="00054332" w:rsidRDefault="00054332" w:rsidP="003351D5">
            <w:pPr>
              <w:jc w:val="center"/>
              <w:rPr>
                <w:sz w:val="15"/>
              </w:rPr>
            </w:pPr>
            <w:r>
              <w:rPr>
                <w:sz w:val="15"/>
              </w:rPr>
              <w:t>18.2</w:t>
            </w:r>
          </w:p>
        </w:tc>
      </w:tr>
      <w:tr w:rsidR="00054332" w:rsidTr="003351D5">
        <w:trPr>
          <w:jc w:val="center"/>
        </w:trPr>
        <w:tc>
          <w:tcPr>
            <w:tcW w:w="2802" w:type="dxa"/>
            <w:vAlign w:val="center"/>
          </w:tcPr>
          <w:p w:rsidR="00054332" w:rsidRDefault="00054332" w:rsidP="003351D5">
            <w:pPr>
              <w:jc w:val="center"/>
              <w:rPr>
                <w:sz w:val="15"/>
              </w:rPr>
            </w:pPr>
            <w:r>
              <w:rPr>
                <w:sz w:val="15"/>
              </w:rPr>
              <w:t>Rated current</w:t>
            </w:r>
            <w:r>
              <w:rPr>
                <w:rFonts w:hint="eastAsia"/>
                <w:sz w:val="15"/>
              </w:rPr>
              <w:t xml:space="preserve"> </w:t>
            </w:r>
            <w:r>
              <w:rPr>
                <w:sz w:val="15"/>
              </w:rPr>
              <w:t>(peak)/A</w:t>
            </w:r>
          </w:p>
        </w:tc>
        <w:tc>
          <w:tcPr>
            <w:tcW w:w="1417" w:type="dxa"/>
            <w:vAlign w:val="center"/>
          </w:tcPr>
          <w:p w:rsidR="00054332" w:rsidRDefault="00054332" w:rsidP="003351D5">
            <w:pPr>
              <w:jc w:val="center"/>
              <w:rPr>
                <w:sz w:val="15"/>
              </w:rPr>
            </w:pPr>
            <w:r>
              <w:rPr>
                <w:sz w:val="15"/>
              </w:rPr>
              <w:t>4A</w:t>
            </w:r>
          </w:p>
        </w:tc>
      </w:tr>
      <w:tr w:rsidR="00054332" w:rsidTr="003351D5">
        <w:trPr>
          <w:jc w:val="center"/>
        </w:trPr>
        <w:tc>
          <w:tcPr>
            <w:tcW w:w="2802" w:type="dxa"/>
            <w:vAlign w:val="center"/>
          </w:tcPr>
          <w:p w:rsidR="00054332" w:rsidRDefault="00054332" w:rsidP="003351D5">
            <w:pPr>
              <w:jc w:val="center"/>
              <w:rPr>
                <w:sz w:val="15"/>
              </w:rPr>
            </w:pPr>
            <w:proofErr w:type="spellStart"/>
            <w:r>
              <w:rPr>
                <w:sz w:val="15"/>
              </w:rPr>
              <w:t>Remanence</w:t>
            </w:r>
            <w:proofErr w:type="spellEnd"/>
            <w:r>
              <w:rPr>
                <w:sz w:val="15"/>
              </w:rPr>
              <w:t>/T</w:t>
            </w:r>
          </w:p>
        </w:tc>
        <w:tc>
          <w:tcPr>
            <w:tcW w:w="1417" w:type="dxa"/>
            <w:vAlign w:val="center"/>
          </w:tcPr>
          <w:p w:rsidR="00054332" w:rsidRDefault="00054332" w:rsidP="003351D5">
            <w:pPr>
              <w:jc w:val="center"/>
              <w:rPr>
                <w:sz w:val="15"/>
              </w:rPr>
            </w:pPr>
            <w:r>
              <w:rPr>
                <w:sz w:val="15"/>
              </w:rPr>
              <w:t>1.17</w:t>
            </w:r>
          </w:p>
        </w:tc>
      </w:tr>
      <w:tr w:rsidR="00054332" w:rsidTr="003351D5">
        <w:trPr>
          <w:trHeight w:val="368"/>
          <w:jc w:val="center"/>
        </w:trPr>
        <w:tc>
          <w:tcPr>
            <w:tcW w:w="2802" w:type="dxa"/>
            <w:vAlign w:val="center"/>
          </w:tcPr>
          <w:p w:rsidR="00054332" w:rsidRDefault="00054332" w:rsidP="003351D5">
            <w:pPr>
              <w:jc w:val="center"/>
              <w:rPr>
                <w:sz w:val="15"/>
              </w:rPr>
            </w:pPr>
            <w:r>
              <w:rPr>
                <w:sz w:val="15"/>
              </w:rPr>
              <w:t>Coercive force/(kA/m)</w:t>
            </w:r>
          </w:p>
        </w:tc>
        <w:tc>
          <w:tcPr>
            <w:tcW w:w="1417" w:type="dxa"/>
            <w:vAlign w:val="center"/>
          </w:tcPr>
          <w:p w:rsidR="00054332" w:rsidRDefault="00054332" w:rsidP="003351D5">
            <w:pPr>
              <w:jc w:val="center"/>
              <w:rPr>
                <w:sz w:val="15"/>
              </w:rPr>
            </w:pPr>
            <w:r>
              <w:rPr>
                <w:rFonts w:ascii="Symbol" w:hAnsi="Symbol"/>
                <w:sz w:val="15"/>
              </w:rPr>
              <w:t></w:t>
            </w:r>
            <w:r>
              <w:rPr>
                <w:sz w:val="15"/>
              </w:rPr>
              <w:t>891</w:t>
            </w:r>
          </w:p>
        </w:tc>
      </w:tr>
    </w:tbl>
    <w:p w:rsidR="00054332" w:rsidRDefault="00054332" w:rsidP="00054332">
      <w:pPr>
        <w:spacing w:line="140" w:lineRule="exact"/>
      </w:pPr>
    </w:p>
    <w:p w:rsidR="00054332" w:rsidRDefault="00054332" w:rsidP="00054332">
      <w:r>
        <w:t>PM excitation on the d-axis has the net q-axis flux linkage. The q-axis current also produces net d-axis flux linkage. Fig</w:t>
      </w:r>
      <w:r>
        <w:rPr>
          <w:rFonts w:hint="eastAsia"/>
        </w:rPr>
        <w:t>.</w:t>
      </w:r>
      <w:r>
        <w:t xml:space="preserve">5 shows the radial and tangential flux density components along the middle of the </w:t>
      </w:r>
      <w:proofErr w:type="spellStart"/>
      <w:r>
        <w:t>airgap</w:t>
      </w:r>
      <w:proofErr w:type="spellEnd"/>
      <w:r>
        <w:t xml:space="preserve"> in Fig.4 to illustrate the on-load magnetic flux density </w:t>
      </w:r>
      <w:r>
        <w:rPr>
          <w:iCs/>
        </w:rPr>
        <w:t xml:space="preserve">separation. </w:t>
      </w:r>
      <w:r>
        <w:t xml:space="preserve">It shows that for each sample point, the flux density in the whole model is the same as the </w:t>
      </w:r>
      <w:r>
        <w:lastRenderedPageBreak/>
        <w:t xml:space="preserve">mathematic summation of the two flux density components produced </w:t>
      </w:r>
      <w:r>
        <w:rPr>
          <w:lang w:val="en-GB"/>
        </w:rPr>
        <w:t>with either on-load PM or armature field only.</w:t>
      </w:r>
      <w:r>
        <w:t xml:space="preserve"> This is also true for any other rotor position and load condition. Hence</w:t>
      </w:r>
      <w:r>
        <w:rPr>
          <w:rFonts w:hint="eastAsia"/>
        </w:rPr>
        <w:t>,</w:t>
      </w:r>
      <w:r>
        <w:t xml:space="preserve"> the on-load magnetic field components can be successfully separated while the influence of magnetic saturation and cross-coupling has been taken into account</w:t>
      </w:r>
      <w:r>
        <w:rPr>
          <w:rFonts w:hint="eastAsia"/>
        </w:rPr>
        <w:t>.</w:t>
      </w:r>
    </w:p>
    <w:p w:rsidR="00054332" w:rsidRDefault="00054332" w:rsidP="00054332">
      <w:pPr>
        <w:ind w:firstLineChars="200" w:firstLine="424"/>
      </w:pPr>
      <w:r>
        <w:t>Other examples of separated on-load magnetic field distributions and flux densities in PM machines can be found in Ref</w:t>
      </w:r>
      <w:proofErr w:type="gramStart"/>
      <w:r>
        <w:t>.[</w:t>
      </w:r>
      <w:proofErr w:type="gramEnd"/>
      <w:r>
        <w:t>20</w:t>
      </w:r>
      <w:r>
        <w:rPr>
          <w:rFonts w:hint="eastAsia"/>
        </w:rPr>
        <w:t>-</w:t>
      </w:r>
      <w:r>
        <w:t>34]. In Ref</w:t>
      </w:r>
      <w:proofErr w:type="gramStart"/>
      <w:r>
        <w:t>.[</w:t>
      </w:r>
      <w:proofErr w:type="gramEnd"/>
      <w:r>
        <w:t xml:space="preserve">20], the on-load PM and armature magnetic field distributions and </w:t>
      </w:r>
      <w:proofErr w:type="spellStart"/>
      <w:r>
        <w:t>airgap</w:t>
      </w:r>
      <w:proofErr w:type="spellEnd"/>
      <w:r>
        <w:t xml:space="preserve"> flux densities in a large power linear PM machines are obtained to explain the reduction of trust force density. In Ref</w:t>
      </w:r>
      <w:proofErr w:type="gramStart"/>
      <w:r>
        <w:rPr>
          <w:rFonts w:hint="eastAsia"/>
        </w:rPr>
        <w:t>.</w:t>
      </w:r>
      <w:r>
        <w:t>[</w:t>
      </w:r>
      <w:proofErr w:type="gramEnd"/>
      <w:r>
        <w:t xml:space="preserve">23], the on-load </w:t>
      </w:r>
      <w:proofErr w:type="spellStart"/>
      <w:r>
        <w:t>airgap</w:t>
      </w:r>
      <w:proofErr w:type="spellEnd"/>
      <w:r>
        <w:t xml:space="preserve"> PM and armature flux density components in a surface-</w:t>
      </w:r>
      <w:r>
        <w:rPr>
          <w:rFonts w:hint="eastAsia"/>
        </w:rPr>
        <w:t xml:space="preserve"> </w:t>
      </w:r>
      <w:r>
        <w:t xml:space="preserve">mounted PM (SPM) machine with eccentricity are obtained by the FP finite element analyses to validate the analytical model based on improved conformal mapping method. </w:t>
      </w:r>
    </w:p>
    <w:p w:rsidR="00054332" w:rsidRDefault="00054332" w:rsidP="00054332">
      <w:pPr>
        <w:ind w:firstLineChars="200" w:firstLine="424"/>
      </w:pPr>
      <w:r>
        <w:t xml:space="preserve">Based on the on-load magnetic field separation, various </w:t>
      </w:r>
      <w:proofErr w:type="spellStart"/>
      <w:r>
        <w:t>on</w:t>
      </w:r>
      <w:proofErr w:type="spellEnd"/>
      <w:r>
        <w:t>-load components of electromagnetic quantities such as flux densities and flux linkages can then be calculated for further investigations.</w:t>
      </w:r>
    </w:p>
    <w:p w:rsidR="00054332" w:rsidRDefault="00054332" w:rsidP="00054332">
      <w:pPr>
        <w:pStyle w:val="3"/>
        <w:rPr>
          <w:rFonts w:ascii="SimSun" w:hAnsi="SimSun"/>
        </w:rPr>
      </w:pPr>
      <w:proofErr w:type="gramStart"/>
      <w:r>
        <w:rPr>
          <w:rFonts w:hint="eastAsia"/>
          <w:bCs/>
          <w:color w:val="000000"/>
        </w:rPr>
        <w:t>3</w:t>
      </w:r>
      <w:r>
        <w:rPr>
          <w:color w:val="000000"/>
        </w:rPr>
        <w:t xml:space="preserve"> </w:t>
      </w:r>
      <w:r>
        <w:t xml:space="preserve"> </w:t>
      </w:r>
      <w:r>
        <w:rPr>
          <w:rFonts w:ascii="Times" w:hAnsi="Times"/>
          <w:spacing w:val="2"/>
        </w:rPr>
        <w:t>On</w:t>
      </w:r>
      <w:proofErr w:type="gramEnd"/>
      <w:r>
        <w:rPr>
          <w:rFonts w:ascii="Times" w:hAnsi="Times"/>
          <w:spacing w:val="2"/>
        </w:rPr>
        <w:t xml:space="preserve">-Load Flux Linkages and Inductances </w:t>
      </w:r>
      <w:r>
        <w:t>Analyses</w:t>
      </w:r>
    </w:p>
    <w:p w:rsidR="00054332" w:rsidRDefault="00054332" w:rsidP="00054332">
      <w:pPr>
        <w:ind w:firstLineChars="200" w:firstLine="424"/>
      </w:pPr>
      <w:r>
        <w:t xml:space="preserve">For PM machines, the PM flux linkages and inductances are most important parameters in terms of the machine design, </w:t>
      </w:r>
      <w:proofErr w:type="spellStart"/>
      <w:r>
        <w:t>modelling</w:t>
      </w:r>
      <w:proofErr w:type="spellEnd"/>
      <w:r>
        <w:t xml:space="preserve"> and control. The inductances represent the armature flux linkages with the given armature currents. However, it is well known that the constant PM flux linkage and </w:t>
      </w:r>
      <w:proofErr w:type="spellStart"/>
      <w:r>
        <w:t>indu</w:t>
      </w:r>
      <w:proofErr w:type="spellEnd"/>
      <w:r>
        <w:rPr>
          <w:rFonts w:hint="eastAsia"/>
        </w:rPr>
        <w:t xml:space="preserve">- </w:t>
      </w:r>
      <w:proofErr w:type="spellStart"/>
      <w:r>
        <w:t>ctance</w:t>
      </w:r>
      <w:proofErr w:type="spellEnd"/>
      <w:r>
        <w:t xml:space="preserve"> models may result in significant inaccuracy due to the influence of magnetic saturation. Since the FP technique is able to consider the influence of magnetic saturation, it is widely used for the </w:t>
      </w:r>
      <w:proofErr w:type="spellStart"/>
      <w:r>
        <w:t>calcu</w:t>
      </w:r>
      <w:proofErr w:type="spellEnd"/>
      <w:r>
        <w:rPr>
          <w:rFonts w:hint="eastAsia"/>
        </w:rPr>
        <w:t xml:space="preserve">- </w:t>
      </w:r>
      <w:proofErr w:type="spellStart"/>
      <w:r>
        <w:t>lation</w:t>
      </w:r>
      <w:proofErr w:type="spellEnd"/>
      <w:r>
        <w:t xml:space="preserve"> of PM flux linkages and inductances</w:t>
      </w:r>
      <w:r>
        <w:rPr>
          <w:rFonts w:hint="eastAsia"/>
        </w:rPr>
        <w:t>.</w:t>
      </w:r>
      <w:r>
        <w:t xml:space="preserve"> </w:t>
      </w:r>
    </w:p>
    <w:p w:rsidR="00054332" w:rsidRDefault="00054332" w:rsidP="00054332">
      <w:pPr>
        <w:ind w:firstLineChars="200" w:firstLine="424"/>
      </w:pPr>
      <w:r>
        <w:t>In Ref</w:t>
      </w:r>
      <w:proofErr w:type="gramStart"/>
      <w:r>
        <w:t>.[</w:t>
      </w:r>
      <w:proofErr w:type="gramEnd"/>
      <w:r>
        <w:t xml:space="preserve">13,16,19, 24], it has been well illustrated that the average PM flux linkage and inductances per electric cycle can significantly change with load. Consequently, they are </w:t>
      </w:r>
      <w:r>
        <w:rPr>
          <w:szCs w:val="20"/>
        </w:rPr>
        <w:t xml:space="preserve">2D functions of both d- and q-axis armature currents (or the current amplitude </w:t>
      </w:r>
      <w:proofErr w:type="spellStart"/>
      <w:proofErr w:type="gramStart"/>
      <w:r>
        <w:rPr>
          <w:i/>
          <w:iCs/>
          <w:szCs w:val="20"/>
        </w:rPr>
        <w:t>I</w:t>
      </w:r>
      <w:r>
        <w:rPr>
          <w:iCs/>
          <w:szCs w:val="20"/>
          <w:vertAlign w:val="subscript"/>
        </w:rPr>
        <w:t>a</w:t>
      </w:r>
      <w:proofErr w:type="spellEnd"/>
      <w:proofErr w:type="gramEnd"/>
      <w:r>
        <w:rPr>
          <w:szCs w:val="20"/>
        </w:rPr>
        <w:t xml:space="preserve"> and the phase advance angle </w:t>
      </w:r>
      <w:r>
        <w:rPr>
          <w:rFonts w:ascii="Symbol" w:hAnsi="Symbol"/>
          <w:i/>
          <w:iCs/>
        </w:rPr>
        <w:t></w:t>
      </w:r>
      <w:r>
        <w:rPr>
          <w:rFonts w:ascii="Symbol" w:hAnsi="Symbol"/>
          <w:i/>
          <w:iCs/>
        </w:rPr>
        <w:t></w:t>
      </w:r>
      <w:r>
        <w:rPr>
          <w:szCs w:val="20"/>
        </w:rPr>
        <w:t>).</w:t>
      </w:r>
      <w:r>
        <w:t xml:space="preserve"> Furthermore, there are cross-coupling between the d- and q-axes as well </w:t>
      </w:r>
      <w:r>
        <w:lastRenderedPageBreak/>
        <w:t>as the net average q</w:t>
      </w:r>
      <w:r>
        <w:rPr>
          <w:rFonts w:hint="eastAsia"/>
        </w:rPr>
        <w:t>-</w:t>
      </w:r>
      <w:r>
        <w:t>axis PM flux linkage. Hence</w:t>
      </w:r>
      <w:r>
        <w:rPr>
          <w:rFonts w:hint="eastAsia"/>
        </w:rPr>
        <w:t>,</w:t>
      </w:r>
      <w:r>
        <w:t xml:space="preserve"> the full average flux linkage model for PM machines should be expressed as</w:t>
      </w:r>
    </w:p>
    <w:p w:rsidR="00054332" w:rsidRDefault="00054332" w:rsidP="00C6215D">
      <w:pPr>
        <w:snapToGrid w:val="0"/>
        <w:spacing w:beforeLines="40" w:afterLines="30"/>
        <w:jc w:val="right"/>
      </w:pPr>
      <w:r w:rsidRPr="005311D5">
        <w:rPr>
          <w:position w:val="-14"/>
        </w:rPr>
        <w:object w:dxaOrig="40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35pt;height:16.9pt" o:ole="">
            <v:imagedata r:id="rId22" o:title=""/>
          </v:shape>
          <o:OLEObject Type="Embed" ProgID="Equation.DSMT4" ShapeID="_x0000_i1025" DrawAspect="Content" ObjectID="_1650288988" r:id="rId23"/>
        </w:object>
      </w:r>
      <w:r>
        <w:rPr>
          <w:rFonts w:hint="eastAsia"/>
        </w:rPr>
        <w:t>（</w:t>
      </w:r>
      <w:r>
        <w:t>1</w:t>
      </w:r>
      <w:r>
        <w:rPr>
          <w:rFonts w:hint="eastAsia"/>
        </w:rPr>
        <w:t>）</w:t>
      </w:r>
    </w:p>
    <w:p w:rsidR="00054332" w:rsidRDefault="00054332" w:rsidP="00054332">
      <w:pPr>
        <w:snapToGrid w:val="0"/>
        <w:jc w:val="right"/>
      </w:pPr>
      <w:r w:rsidRPr="005311D5">
        <w:rPr>
          <w:position w:val="-14"/>
        </w:rPr>
        <w:object w:dxaOrig="3960" w:dyaOrig="340">
          <v:shape id="_x0000_i1026" type="#_x0000_t75" style="width:198.45pt;height:16.9pt" o:ole="">
            <v:imagedata r:id="rId24" o:title=""/>
          </v:shape>
          <o:OLEObject Type="Embed" ProgID="Equation.DSMT4" ShapeID="_x0000_i1026" DrawAspect="Content" ObjectID="_1650288989" r:id="rId25"/>
        </w:object>
      </w:r>
      <w:r>
        <w:t> </w:t>
      </w:r>
      <w:r>
        <w:rPr>
          <w:rFonts w:hint="eastAsia"/>
        </w:rPr>
        <w:t>（</w:t>
      </w:r>
      <w:r>
        <w:t>2</w:t>
      </w:r>
      <w:r>
        <w:rPr>
          <w:rFonts w:hint="eastAsia"/>
        </w:rPr>
        <w:t>）</w:t>
      </w:r>
    </w:p>
    <w:p w:rsidR="00054332" w:rsidRDefault="00054332" w:rsidP="00054332">
      <w:proofErr w:type="gramStart"/>
      <w:r>
        <w:t>where</w:t>
      </w:r>
      <w:proofErr w:type="gramEnd"/>
      <w:r>
        <w:t xml:space="preserve"> </w:t>
      </w:r>
      <w:r>
        <w:rPr>
          <w:rFonts w:ascii="Symbol" w:hAnsi="Symbol"/>
          <w:i/>
          <w:iCs/>
          <w:position w:val="2"/>
        </w:rPr>
        <w:t></w:t>
      </w:r>
      <w:r>
        <w:rPr>
          <w:vertAlign w:val="subscript"/>
          <w:lang w:val="en-GB"/>
        </w:rPr>
        <w:t>d</w:t>
      </w:r>
      <w:r>
        <w:t xml:space="preserve"> and </w:t>
      </w:r>
      <w:r>
        <w:rPr>
          <w:rFonts w:ascii="Symbol" w:hAnsi="Symbol"/>
          <w:i/>
          <w:iCs/>
          <w:position w:val="2"/>
        </w:rPr>
        <w:t></w:t>
      </w:r>
      <w:r>
        <w:rPr>
          <w:vertAlign w:val="subscript"/>
          <w:lang w:val="en-GB"/>
        </w:rPr>
        <w:t>q</w:t>
      </w:r>
      <w:r>
        <w:t xml:space="preserve"> are the total d- and q-axis flux linkages, respectively.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w:t>
      </w:r>
      <w:r>
        <w:rPr>
          <w:rFonts w:ascii="Symbol" w:hAnsi="Symbol"/>
          <w:i/>
          <w:iCs/>
          <w:position w:val="2"/>
        </w:rPr>
        <w:t></w:t>
      </w:r>
      <w:r>
        <w:rPr>
          <w:vertAlign w:val="subscript"/>
          <w:lang w:val="en-GB"/>
        </w:rPr>
        <w:t>q</w:t>
      </w:r>
      <w:r>
        <w:rPr>
          <w:lang w:val="en-GB"/>
        </w:rPr>
        <w:t xml:space="preserve">(PM), </w:t>
      </w:r>
      <w:r>
        <w:rPr>
          <w:rFonts w:ascii="Symbol" w:hAnsi="Symbol"/>
          <w:i/>
          <w:iCs/>
          <w:position w:val="2"/>
        </w:rPr>
        <w:t></w:t>
      </w:r>
      <w:r>
        <w:rPr>
          <w:vertAlign w:val="subscript"/>
          <w:lang w:val="en-GB"/>
        </w:rPr>
        <w:t>d</w:t>
      </w:r>
      <w:r>
        <w:rPr>
          <w:lang w:val="en-GB"/>
        </w:rPr>
        <w:t>(</w:t>
      </w:r>
      <w:proofErr w:type="spellStart"/>
      <w:r>
        <w:rPr>
          <w:lang w:val="en-GB"/>
        </w:rPr>
        <w:t>i</w:t>
      </w:r>
      <w:proofErr w:type="spellEnd"/>
      <w:r>
        <w:rPr>
          <w:lang w:val="en-GB"/>
        </w:rPr>
        <w:t xml:space="preserve">) and </w:t>
      </w:r>
      <w:r>
        <w:rPr>
          <w:rFonts w:ascii="Symbol" w:hAnsi="Symbol"/>
          <w:i/>
          <w:iCs/>
          <w:position w:val="2"/>
        </w:rPr>
        <w:t></w:t>
      </w:r>
      <w:r>
        <w:rPr>
          <w:vertAlign w:val="subscript"/>
          <w:lang w:val="en-GB"/>
        </w:rPr>
        <w:t>q</w:t>
      </w:r>
      <w:r>
        <w:rPr>
          <w:lang w:val="en-GB"/>
        </w:rPr>
        <w:t>(</w:t>
      </w:r>
      <w:proofErr w:type="spellStart"/>
      <w:r>
        <w:rPr>
          <w:lang w:val="en-GB"/>
        </w:rPr>
        <w:t>i</w:t>
      </w:r>
      <w:proofErr w:type="spellEnd"/>
      <w:r>
        <w:rPr>
          <w:lang w:val="en-GB"/>
        </w:rPr>
        <w:t>) are the</w:t>
      </w:r>
      <w:r>
        <w:rPr>
          <w:iCs/>
          <w:lang w:val="en-GB"/>
        </w:rPr>
        <w:t xml:space="preserve"> </w:t>
      </w:r>
      <w:r>
        <w:rPr>
          <w:iCs/>
        </w:rPr>
        <w:t>d- and q-</w:t>
      </w:r>
      <w:r>
        <w:t>axis flux linkages due to on-load PM and armature fields, respectively</w:t>
      </w:r>
      <w:r>
        <w:rPr>
          <w:lang w:val="en-GB"/>
        </w:rPr>
        <w:t xml:space="preserve">. </w:t>
      </w:r>
      <w:r>
        <w:rPr>
          <w:i/>
        </w:rPr>
        <w:t>I</w:t>
      </w:r>
      <w:r>
        <w:rPr>
          <w:vertAlign w:val="subscript"/>
        </w:rPr>
        <w:t>d</w:t>
      </w:r>
      <w:r>
        <w:t xml:space="preserve"> and </w:t>
      </w:r>
      <w:proofErr w:type="spellStart"/>
      <w:proofErr w:type="gramStart"/>
      <w:r>
        <w:rPr>
          <w:i/>
        </w:rPr>
        <w:t>I</w:t>
      </w:r>
      <w:r>
        <w:rPr>
          <w:vertAlign w:val="subscript"/>
        </w:rPr>
        <w:t>q</w:t>
      </w:r>
      <w:proofErr w:type="spellEnd"/>
      <w:proofErr w:type="gramEnd"/>
      <w:r>
        <w:rPr>
          <w:i/>
        </w:rPr>
        <w:t xml:space="preserve"> </w:t>
      </w:r>
      <w:r>
        <w:t xml:space="preserve">are the </w:t>
      </w:r>
      <w:r>
        <w:rPr>
          <w:iCs/>
        </w:rPr>
        <w:t>d</w:t>
      </w:r>
      <w:r>
        <w:t xml:space="preserve">- and q-axis currents, respectively. </w:t>
      </w:r>
      <w:proofErr w:type="spellStart"/>
      <w:r>
        <w:rPr>
          <w:i/>
          <w:lang w:val="en-GB"/>
        </w:rPr>
        <w:t>L</w:t>
      </w:r>
      <w:r>
        <w:rPr>
          <w:vertAlign w:val="subscript"/>
          <w:lang w:val="en-GB"/>
        </w:rPr>
        <w:t>dd</w:t>
      </w:r>
      <w:proofErr w:type="spellEnd"/>
      <w:r>
        <w:rPr>
          <w:rFonts w:hint="eastAsia"/>
          <w:lang w:val="en-GB"/>
        </w:rPr>
        <w:t>,</w:t>
      </w:r>
      <w:r>
        <w:rPr>
          <w:lang w:val="en-GB"/>
        </w:rPr>
        <w:t xml:space="preserve"> </w:t>
      </w:r>
      <w:proofErr w:type="spellStart"/>
      <w:r>
        <w:rPr>
          <w:i/>
          <w:lang w:val="en-GB"/>
        </w:rPr>
        <w:t>L</w:t>
      </w:r>
      <w:r>
        <w:rPr>
          <w:vertAlign w:val="subscript"/>
          <w:lang w:val="en-GB"/>
        </w:rPr>
        <w:t>qq</w:t>
      </w:r>
      <w:proofErr w:type="spellEnd"/>
      <w:r>
        <w:rPr>
          <w:rFonts w:hint="eastAsia"/>
        </w:rPr>
        <w:t>,</w:t>
      </w:r>
      <w:r>
        <w:t xml:space="preserve"> and </w:t>
      </w:r>
      <w:proofErr w:type="spellStart"/>
      <w:r>
        <w:rPr>
          <w:i/>
          <w:lang w:val="en-GB"/>
        </w:rPr>
        <w:t>L</w:t>
      </w:r>
      <w:r>
        <w:rPr>
          <w:vertAlign w:val="subscript"/>
          <w:lang w:val="en-GB"/>
        </w:rPr>
        <w:t>dq</w:t>
      </w:r>
      <w:proofErr w:type="spellEnd"/>
      <w:r>
        <w:t xml:space="preserve"> are the d- and q-axis self- and mutual inductances, respectively. </w:t>
      </w:r>
    </w:p>
    <w:p w:rsidR="00054332" w:rsidRDefault="00054332" w:rsidP="00054332">
      <w:pPr>
        <w:ind w:firstLineChars="200" w:firstLine="424"/>
        <w:jc w:val="distribute"/>
      </w:pPr>
      <w:r>
        <w:t xml:space="preserve">Please note that </w:t>
      </w:r>
      <w:r>
        <w:rPr>
          <w:rFonts w:ascii="Symbol" w:hAnsi="Symbol"/>
          <w:i/>
          <w:iCs/>
          <w:position w:val="2"/>
        </w:rPr>
        <w:t></w:t>
      </w:r>
      <w:proofErr w:type="gramStart"/>
      <w:r>
        <w:rPr>
          <w:vertAlign w:val="subscript"/>
          <w:lang w:val="en-GB"/>
        </w:rPr>
        <w:t>q</w:t>
      </w:r>
      <w:r>
        <w:rPr>
          <w:lang w:val="en-GB"/>
        </w:rPr>
        <w:t>(</w:t>
      </w:r>
      <w:proofErr w:type="gramEnd"/>
      <w:r>
        <w:rPr>
          <w:lang w:val="en-GB"/>
        </w:rPr>
        <w:t xml:space="preserve">PM) and </w:t>
      </w:r>
      <w:proofErr w:type="spellStart"/>
      <w:r>
        <w:rPr>
          <w:i/>
          <w:lang w:val="en-GB"/>
        </w:rPr>
        <w:t>L</w:t>
      </w:r>
      <w:r>
        <w:rPr>
          <w:vertAlign w:val="subscript"/>
          <w:lang w:val="en-GB"/>
        </w:rPr>
        <w:t>dq</w:t>
      </w:r>
      <w:proofErr w:type="spellEnd"/>
      <w:r>
        <w:rPr>
          <w:lang w:val="en-GB"/>
        </w:rPr>
        <w:t xml:space="preserve"> are due to the cross-coupling between </w:t>
      </w:r>
      <w:r>
        <w:t>d- and q-ax</w:t>
      </w:r>
      <w:r>
        <w:rPr>
          <w:rFonts w:hint="eastAsia"/>
        </w:rPr>
        <w:t>i</w:t>
      </w:r>
      <w:r>
        <w:t xml:space="preserve">s. Furthermore, except the variation of average values with the current amplitude </w:t>
      </w:r>
      <w:proofErr w:type="spellStart"/>
      <w:proofErr w:type="gramStart"/>
      <w:r>
        <w:rPr>
          <w:i/>
          <w:iCs/>
        </w:rPr>
        <w:t>I</w:t>
      </w:r>
      <w:r>
        <w:rPr>
          <w:iCs/>
          <w:vertAlign w:val="subscript"/>
        </w:rPr>
        <w:t>a</w:t>
      </w:r>
      <w:proofErr w:type="spellEnd"/>
      <w:proofErr w:type="gramEnd"/>
      <w:r>
        <w:t xml:space="preserve"> and phase advance angle </w:t>
      </w:r>
      <w:r>
        <w:rPr>
          <w:rFonts w:ascii="Symbol" w:hAnsi="Symbol"/>
          <w:i/>
          <w:iCs/>
        </w:rPr>
        <w:t></w:t>
      </w:r>
      <w:r>
        <w:t>, the flux linkages and inductances also change with the rotor position. Fig.6 shows the variations of on-load flux linkages of the inset PM machine listed in Tab</w:t>
      </w:r>
      <w:r>
        <w:rPr>
          <w:rFonts w:hint="eastAsia"/>
        </w:rPr>
        <w:t>.</w:t>
      </w:r>
      <w:r>
        <w:t xml:space="preserve">1 with the rotor position when </w:t>
      </w:r>
      <w:proofErr w:type="spellStart"/>
      <w:r>
        <w:rPr>
          <w:i/>
          <w:iCs/>
        </w:rPr>
        <w:t>I</w:t>
      </w:r>
      <w:r>
        <w:rPr>
          <w:iCs/>
          <w:vertAlign w:val="subscript"/>
        </w:rPr>
        <w:t>a</w:t>
      </w:r>
      <w:proofErr w:type="spellEnd"/>
      <w:r>
        <w:t xml:space="preserve">=4A and </w:t>
      </w:r>
      <w:r>
        <w:rPr>
          <w:rFonts w:ascii="Symbol" w:hAnsi="Symbol"/>
          <w:i/>
          <w:iCs/>
        </w:rPr>
        <w:t></w:t>
      </w:r>
      <w:r>
        <w:rPr>
          <w:rFonts w:hint="eastAsia"/>
          <w:i/>
          <w:iCs/>
        </w:rPr>
        <w:t> </w:t>
      </w:r>
      <w:r>
        <w:rPr>
          <w:i/>
        </w:rPr>
        <w:t>=</w:t>
      </w:r>
      <w:r>
        <w:rPr>
          <w:rFonts w:hint="eastAsia"/>
        </w:rPr>
        <w:t>0</w:t>
      </w:r>
      <w:r>
        <w:rPr>
          <w:rFonts w:ascii="Times" w:hAnsi="Times" w:hint="eastAsia"/>
          <w:spacing w:val="-60"/>
          <w:lang w:val="en-GB"/>
        </w:rPr>
        <w:t>°</w:t>
      </w:r>
      <w:r>
        <w:t xml:space="preserve"> as an example</w:t>
      </w:r>
      <w:r>
        <w:rPr>
          <w:rFonts w:hint="eastAsia"/>
        </w:rPr>
        <w:t>.</w:t>
      </w:r>
      <w:r>
        <w:t xml:space="preserve"> It also confirms that not only the instant</w:t>
      </w:r>
      <w:r>
        <w:rPr>
          <w:rFonts w:hint="eastAsia"/>
        </w:rPr>
        <w:t xml:space="preserve">- </w:t>
      </w:r>
      <w:proofErr w:type="spellStart"/>
      <w:r>
        <w:t>aneous</w:t>
      </w:r>
      <w:proofErr w:type="spellEnd"/>
      <w:r>
        <w:t xml:space="preserve"> </w:t>
      </w:r>
      <w:r>
        <w:rPr>
          <w:rFonts w:ascii="Symbol" w:hAnsi="Symbol"/>
          <w:i/>
          <w:iCs/>
          <w:position w:val="2"/>
        </w:rPr>
        <w:t></w:t>
      </w:r>
      <w:proofErr w:type="gramStart"/>
      <w:r>
        <w:rPr>
          <w:vertAlign w:val="subscript"/>
          <w:lang w:val="en-GB"/>
        </w:rPr>
        <w:t>q</w:t>
      </w:r>
      <w:r>
        <w:rPr>
          <w:lang w:val="en-GB"/>
        </w:rPr>
        <w:t>(</w:t>
      </w:r>
      <w:proofErr w:type="gramEnd"/>
      <w:r>
        <w:rPr>
          <w:lang w:val="en-GB"/>
        </w:rPr>
        <w:t>PM)</w:t>
      </w:r>
      <w:r>
        <w:t xml:space="preserve"> but also its average are not zero. The</w:t>
      </w:r>
    </w:p>
    <w:p w:rsidR="00054332" w:rsidRDefault="00054332" w:rsidP="00054332">
      <w:pPr>
        <w:jc w:val="center"/>
        <w:rPr>
          <w:sz w:val="15"/>
        </w:rPr>
      </w:pPr>
      <w:r>
        <w:rPr>
          <w:noProof/>
          <w:sz w:val="15"/>
        </w:rPr>
        <w:drawing>
          <wp:inline distT="0" distB="0" distL="0" distR="0">
            <wp:extent cx="2790825" cy="1709420"/>
            <wp:effectExtent l="19050" t="0" r="9525" b="0"/>
            <wp:docPr id="15" name="图片 15" descr="出片图片\1000\10000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出片图片\1000\100006a.tif"/>
                    <pic:cNvPicPr>
                      <a:picLocks noChangeAspect="1" noChangeArrowheads="1"/>
                    </pic:cNvPicPr>
                  </pic:nvPicPr>
                  <pic:blipFill>
                    <a:blip r:embed="rId26" cstate="print">
                      <a:grayscl/>
                    </a:blip>
                    <a:srcRect/>
                    <a:stretch>
                      <a:fillRect/>
                    </a:stretch>
                  </pic:blipFill>
                  <pic:spPr bwMode="auto">
                    <a:xfrm>
                      <a:off x="0" y="0"/>
                      <a:ext cx="279082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d-axis flux linkages</w:t>
      </w:r>
    </w:p>
    <w:p w:rsidR="00054332" w:rsidRDefault="00054332" w:rsidP="00054332">
      <w:pPr>
        <w:jc w:val="center"/>
        <w:rPr>
          <w:sz w:val="15"/>
        </w:rPr>
      </w:pPr>
      <w:r>
        <w:rPr>
          <w:noProof/>
          <w:sz w:val="15"/>
        </w:rPr>
        <w:drawing>
          <wp:inline distT="0" distB="0" distL="0" distR="0">
            <wp:extent cx="2790825" cy="1757045"/>
            <wp:effectExtent l="19050" t="0" r="9525" b="0"/>
            <wp:docPr id="16" name="图片 16" descr="出片图片\1000\10000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出片图片\1000\100006b.tif"/>
                    <pic:cNvPicPr>
                      <a:picLocks noChangeAspect="1" noChangeArrowheads="1"/>
                    </pic:cNvPicPr>
                  </pic:nvPicPr>
                  <pic:blipFill>
                    <a:blip r:embed="rId27" cstate="print">
                      <a:grayscl/>
                    </a:blip>
                    <a:srcRect/>
                    <a:stretch>
                      <a:fillRect/>
                    </a:stretch>
                  </pic:blipFill>
                  <pic:spPr bwMode="auto">
                    <a:xfrm>
                      <a:off x="0" y="0"/>
                      <a:ext cx="279082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q-axis flux linkages</w:t>
      </w:r>
    </w:p>
    <w:p w:rsidR="00054332" w:rsidRDefault="00054332" w:rsidP="00054332">
      <w:pPr>
        <w:pStyle w:val="ae"/>
      </w:pPr>
      <w:r>
        <w:t xml:space="preserve">Fig.6  Variation of flux linkages with rotor position of </w:t>
      </w:r>
      <w:r>
        <w:lastRenderedPageBreak/>
        <w:t xml:space="preserve">inset PM machine when </w:t>
      </w:r>
      <w:proofErr w:type="spellStart"/>
      <w:r>
        <w:rPr>
          <w:i/>
          <w:iCs/>
        </w:rPr>
        <w:t>I</w:t>
      </w:r>
      <w:r>
        <w:rPr>
          <w:iCs/>
          <w:vertAlign w:val="subscript"/>
        </w:rPr>
        <w:t>a</w:t>
      </w:r>
      <w:proofErr w:type="spellEnd"/>
      <w:r>
        <w:t xml:space="preserve">=4A and </w:t>
      </w:r>
      <w:r>
        <w:rPr>
          <w:rFonts w:ascii="Symbol" w:hAnsi="Symbol"/>
          <w:i/>
          <w:iCs/>
        </w:rPr>
        <w:t></w:t>
      </w:r>
      <w:r>
        <w:rPr>
          <w:i/>
        </w:rPr>
        <w:t>=</w:t>
      </w:r>
      <w:r>
        <w:rPr>
          <w:rFonts w:hint="eastAsia"/>
        </w:rPr>
        <w:t>0</w:t>
      </w:r>
      <w:r>
        <w:rPr>
          <w:rFonts w:hint="eastAsia"/>
          <w:spacing w:val="-60"/>
        </w:rPr>
        <w:t>°</w:t>
      </w:r>
      <w:r>
        <w:rPr>
          <w:vertAlign w:val="superscript"/>
        </w:rPr>
        <w:t>[19]</w:t>
      </w:r>
    </w:p>
    <w:p w:rsidR="00054332" w:rsidRDefault="00054332" w:rsidP="00054332">
      <w:proofErr w:type="gramStart"/>
      <w:r>
        <w:t>average</w:t>
      </w:r>
      <w:proofErr w:type="gramEnd"/>
      <w:r>
        <w:t xml:space="preserve"> </w:t>
      </w:r>
      <w:r>
        <w:rPr>
          <w:rFonts w:ascii="Symbol" w:hAnsi="Symbol"/>
          <w:i/>
          <w:iCs/>
          <w:position w:val="2"/>
        </w:rPr>
        <w:t></w:t>
      </w:r>
      <w:r>
        <w:rPr>
          <w:vertAlign w:val="subscript"/>
          <w:lang w:val="en-GB"/>
        </w:rPr>
        <w:t>d</w:t>
      </w:r>
      <w:r>
        <w:rPr>
          <w:lang w:val="en-GB"/>
        </w:rPr>
        <w:t>(</w:t>
      </w:r>
      <w:proofErr w:type="spellStart"/>
      <w:r>
        <w:rPr>
          <w:lang w:val="en-GB"/>
        </w:rPr>
        <w:t>i</w:t>
      </w:r>
      <w:proofErr w:type="spellEnd"/>
      <w:r>
        <w:rPr>
          <w:lang w:val="en-GB"/>
        </w:rPr>
        <w:t>)</w:t>
      </w:r>
      <w:r>
        <w:t xml:space="preserve"> is also not zero, although only q-axis current is applied.</w:t>
      </w:r>
    </w:p>
    <w:p w:rsidR="00054332" w:rsidRDefault="00054332" w:rsidP="00054332">
      <w:pPr>
        <w:ind w:firstLineChars="200" w:firstLine="424"/>
        <w:jc w:val="distribute"/>
      </w:pPr>
      <w:r>
        <w:t xml:space="preserve">The variation of average flux linkages and inductances with </w:t>
      </w:r>
      <w:r>
        <w:rPr>
          <w:rFonts w:ascii="Symbol" w:hAnsi="Symbol"/>
          <w:i/>
          <w:iCs/>
        </w:rPr>
        <w:t></w:t>
      </w:r>
      <w:r>
        <w:t xml:space="preserve"> is further presented in Fig.7. </w:t>
      </w:r>
      <w:r>
        <w:rPr>
          <w:lang w:val="en-GB"/>
        </w:rPr>
        <w:t xml:space="preserve">The influence of magnetic saturation is represented by the variation of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w:t>
      </w:r>
      <w:proofErr w:type="spellStart"/>
      <w:r>
        <w:rPr>
          <w:i/>
          <w:lang w:val="en-GB"/>
        </w:rPr>
        <w:t>L</w:t>
      </w:r>
      <w:r>
        <w:rPr>
          <w:vertAlign w:val="subscript"/>
          <w:lang w:val="en-GB"/>
        </w:rPr>
        <w:t>dd</w:t>
      </w:r>
      <w:proofErr w:type="spellEnd"/>
      <w:r>
        <w:rPr>
          <w:rFonts w:hint="eastAsia"/>
          <w:lang w:val="en-GB"/>
        </w:rPr>
        <w:t>,</w:t>
      </w:r>
      <w:r>
        <w:rPr>
          <w:lang w:val="en-GB"/>
        </w:rPr>
        <w:t xml:space="preserve"> and </w:t>
      </w:r>
      <w:proofErr w:type="spellStart"/>
      <w:r>
        <w:rPr>
          <w:i/>
          <w:lang w:val="en-GB"/>
        </w:rPr>
        <w:t>L</w:t>
      </w:r>
      <w:r>
        <w:rPr>
          <w:vertAlign w:val="subscript"/>
          <w:lang w:val="en-GB"/>
        </w:rPr>
        <w:t>qq</w:t>
      </w:r>
      <w:proofErr w:type="spellEnd"/>
      <w:r>
        <w:rPr>
          <w:rFonts w:hint="eastAsia"/>
          <w:lang w:val="en-GB"/>
        </w:rPr>
        <w:t>.</w:t>
      </w:r>
      <w:r>
        <w:t xml:space="preserve"> W</w:t>
      </w:r>
      <w:r>
        <w:rPr>
          <w:lang w:val="en-GB"/>
        </w:rPr>
        <w:t xml:space="preserve">hen </w:t>
      </w:r>
      <w:r>
        <w:rPr>
          <w:rFonts w:ascii="Symbol" w:hAnsi="Symbol"/>
          <w:i/>
          <w:iCs/>
        </w:rPr>
        <w:t></w:t>
      </w:r>
      <w:r>
        <w:rPr>
          <w:rFonts w:ascii="Symbol" w:hAnsi="Symbol"/>
          <w:i/>
          <w:iCs/>
        </w:rPr>
        <w:t></w:t>
      </w:r>
      <w:r>
        <w:t>=</w:t>
      </w:r>
      <w:r>
        <w:rPr>
          <w:rFonts w:ascii="Symbol" w:hAnsi="Symbol"/>
          <w:i/>
          <w:iCs/>
        </w:rPr>
        <w:t></w:t>
      </w:r>
      <w:r>
        <w:t>9</w:t>
      </w:r>
      <w:r>
        <w:rPr>
          <w:rFonts w:hint="eastAsia"/>
        </w:rPr>
        <w:t>0</w:t>
      </w:r>
      <w:r>
        <w:rPr>
          <w:rFonts w:ascii="Times" w:hAnsi="Times" w:hint="eastAsia"/>
          <w:spacing w:val="-60"/>
          <w:lang w:val="en-GB"/>
        </w:rPr>
        <w:t>°</w:t>
      </w:r>
      <w:r>
        <w:t xml:space="preserve">, the d-axis magnetic saturation is the heaviest. Hence,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and </w:t>
      </w:r>
      <w:proofErr w:type="spellStart"/>
      <w:r>
        <w:rPr>
          <w:i/>
          <w:lang w:val="en-GB"/>
        </w:rPr>
        <w:t>L</w:t>
      </w:r>
      <w:r>
        <w:rPr>
          <w:vertAlign w:val="subscript"/>
          <w:lang w:val="en-GB"/>
        </w:rPr>
        <w:t>dd</w:t>
      </w:r>
      <w:proofErr w:type="spellEnd"/>
      <w:r>
        <w:t xml:space="preserve"> are at their minimum. </w:t>
      </w:r>
      <w:r>
        <w:rPr>
          <w:lang w:val="en-GB"/>
        </w:rPr>
        <w:t xml:space="preserve">When </w:t>
      </w:r>
      <w:r>
        <w:rPr>
          <w:rFonts w:ascii="Symbol" w:hAnsi="Symbol"/>
          <w:i/>
          <w:iCs/>
        </w:rPr>
        <w:t></w:t>
      </w:r>
      <w:r>
        <w:rPr>
          <w:rFonts w:ascii="Symbol" w:hAnsi="Symbol"/>
          <w:i/>
          <w:iCs/>
        </w:rPr>
        <w:t></w:t>
      </w:r>
      <w:r>
        <w:t>=</w:t>
      </w:r>
      <w:r>
        <w:rPr>
          <w:rFonts w:hint="eastAsia"/>
        </w:rPr>
        <w:t>0</w:t>
      </w:r>
      <w:r>
        <w:rPr>
          <w:rFonts w:ascii="Times" w:hAnsi="Times" w:hint="eastAsia"/>
          <w:spacing w:val="-60"/>
          <w:lang w:val="en-GB"/>
        </w:rPr>
        <w:t>°</w:t>
      </w:r>
      <w:r>
        <w:t xml:space="preserve">, </w:t>
      </w:r>
      <w:r>
        <w:rPr>
          <w:i/>
        </w:rPr>
        <w:t>I</w:t>
      </w:r>
      <w:r>
        <w:rPr>
          <w:iCs/>
          <w:vertAlign w:val="subscript"/>
        </w:rPr>
        <w:t>d</w:t>
      </w:r>
      <w:r>
        <w:t xml:space="preserve"> is zero and </w:t>
      </w:r>
      <w:proofErr w:type="spellStart"/>
      <w:r>
        <w:rPr>
          <w:i/>
        </w:rPr>
        <w:t>I</w:t>
      </w:r>
      <w:r>
        <w:rPr>
          <w:vertAlign w:val="subscript"/>
        </w:rPr>
        <w:t>q</w:t>
      </w:r>
      <w:proofErr w:type="spellEnd"/>
      <w:r>
        <w:t xml:space="preserve"> is maximum. The magnetic saturation is modest along the </w:t>
      </w:r>
      <w:r>
        <w:rPr>
          <w:iCs/>
        </w:rPr>
        <w:t>d</w:t>
      </w:r>
      <w:r>
        <w:t xml:space="preserve">-axis but the heaviest along the q-axis. Therefore,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and </w:t>
      </w:r>
      <w:proofErr w:type="spellStart"/>
      <w:r>
        <w:rPr>
          <w:i/>
          <w:lang w:val="en-GB"/>
        </w:rPr>
        <w:t>L</w:t>
      </w:r>
      <w:r>
        <w:rPr>
          <w:vertAlign w:val="subscript"/>
          <w:lang w:val="en-GB"/>
        </w:rPr>
        <w:t>dd</w:t>
      </w:r>
      <w:proofErr w:type="spellEnd"/>
      <w:r>
        <w:t xml:space="preserve"> are higher while </w:t>
      </w:r>
      <w:proofErr w:type="spellStart"/>
      <w:r>
        <w:rPr>
          <w:i/>
          <w:lang w:val="en-GB"/>
        </w:rPr>
        <w:t>L</w:t>
      </w:r>
      <w:r>
        <w:rPr>
          <w:vertAlign w:val="subscript"/>
          <w:lang w:val="en-GB"/>
        </w:rPr>
        <w:t>qq</w:t>
      </w:r>
      <w:proofErr w:type="spellEnd"/>
    </w:p>
    <w:p w:rsidR="00054332" w:rsidRDefault="00054332" w:rsidP="00054332">
      <w:pPr>
        <w:jc w:val="center"/>
        <w:rPr>
          <w:sz w:val="15"/>
        </w:rPr>
      </w:pPr>
      <w:r>
        <w:rPr>
          <w:noProof/>
          <w:sz w:val="15"/>
        </w:rPr>
        <w:drawing>
          <wp:inline distT="0" distB="0" distL="0" distR="0">
            <wp:extent cx="2814955" cy="1757045"/>
            <wp:effectExtent l="19050" t="0" r="4445" b="0"/>
            <wp:docPr id="17" name="图片 17" descr="出片图片\1000\100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出片图片\1000\100007a.tif"/>
                    <pic:cNvPicPr>
                      <a:picLocks noChangeAspect="1" noChangeArrowheads="1"/>
                    </pic:cNvPicPr>
                  </pic:nvPicPr>
                  <pic:blipFill>
                    <a:blip r:embed="rId28" cstate="print"/>
                    <a:srcRect/>
                    <a:stretch>
                      <a:fillRect/>
                    </a:stretch>
                  </pic:blipFill>
                  <pic:spPr bwMode="auto">
                    <a:xfrm>
                      <a:off x="0" y="0"/>
                      <a:ext cx="281495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d-axis flux linkages</w:t>
      </w:r>
    </w:p>
    <w:p w:rsidR="00054332" w:rsidRDefault="00054332" w:rsidP="00054332">
      <w:pPr>
        <w:jc w:val="center"/>
        <w:rPr>
          <w:sz w:val="15"/>
        </w:rPr>
      </w:pPr>
      <w:r>
        <w:rPr>
          <w:noProof/>
          <w:sz w:val="15"/>
        </w:rPr>
        <w:drawing>
          <wp:inline distT="0" distB="0" distL="0" distR="0">
            <wp:extent cx="2814955" cy="1788795"/>
            <wp:effectExtent l="19050" t="0" r="4445" b="0"/>
            <wp:docPr id="18" name="图片 18" descr="出片图片\1000\100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出片图片\1000\100007b.tif"/>
                    <pic:cNvPicPr>
                      <a:picLocks noChangeAspect="1" noChangeArrowheads="1"/>
                    </pic:cNvPicPr>
                  </pic:nvPicPr>
                  <pic:blipFill>
                    <a:blip r:embed="rId29" cstate="print"/>
                    <a:srcRect/>
                    <a:stretch>
                      <a:fillRect/>
                    </a:stretch>
                  </pic:blipFill>
                  <pic:spPr bwMode="auto">
                    <a:xfrm>
                      <a:off x="0" y="0"/>
                      <a:ext cx="2814955" cy="178879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q-axis flux linkages</w:t>
      </w:r>
    </w:p>
    <w:p w:rsidR="00054332" w:rsidRDefault="00054332" w:rsidP="00054332">
      <w:pPr>
        <w:jc w:val="center"/>
        <w:rPr>
          <w:sz w:val="15"/>
        </w:rPr>
      </w:pPr>
      <w:r>
        <w:rPr>
          <w:noProof/>
          <w:sz w:val="15"/>
        </w:rPr>
        <w:drawing>
          <wp:inline distT="0" distB="0" distL="0" distR="0">
            <wp:extent cx="2814955" cy="1772920"/>
            <wp:effectExtent l="19050" t="0" r="4445" b="0"/>
            <wp:docPr id="19" name="图片 19" descr="..\..\..\图片\新建文件夹\1000\10000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新建文件夹\1000\100007c.tif"/>
                    <pic:cNvPicPr>
                      <a:picLocks noChangeAspect="1" noChangeArrowheads="1"/>
                    </pic:cNvPicPr>
                  </pic:nvPicPr>
                  <pic:blipFill>
                    <a:blip r:embed="rId30" cstate="print"/>
                    <a:srcRect/>
                    <a:stretch>
                      <a:fillRect/>
                    </a:stretch>
                  </pic:blipFill>
                  <pic:spPr bwMode="auto">
                    <a:xfrm>
                      <a:off x="0" y="0"/>
                      <a:ext cx="2814955" cy="1772920"/>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(c) Inductances</w:t>
      </w:r>
    </w:p>
    <w:p w:rsidR="00054332" w:rsidRDefault="00054332" w:rsidP="00054332">
      <w:pPr>
        <w:pStyle w:val="ae"/>
      </w:pPr>
      <w:proofErr w:type="gramStart"/>
      <w:r>
        <w:t xml:space="preserve">Fig.7 </w:t>
      </w:r>
      <w:r>
        <w:rPr>
          <w:rFonts w:hint="eastAsia"/>
        </w:rPr>
        <w:t xml:space="preserve"> </w:t>
      </w:r>
      <w:r>
        <w:t>Variation</w:t>
      </w:r>
      <w:proofErr w:type="gramEnd"/>
      <w:r>
        <w:t xml:space="preserve"> of average flux linkages and inductances </w:t>
      </w:r>
      <w:r>
        <w:lastRenderedPageBreak/>
        <w:t xml:space="preserve">of inset PM machine with </w:t>
      </w:r>
      <w:r>
        <w:rPr>
          <w:rFonts w:ascii="Symbol" w:hAnsi="Symbol"/>
          <w:i/>
          <w:iCs/>
        </w:rPr>
        <w:t></w:t>
      </w:r>
      <w:r>
        <w:t xml:space="preserve"> when </w:t>
      </w:r>
      <w:proofErr w:type="spellStart"/>
      <w:r>
        <w:rPr>
          <w:i/>
          <w:iCs/>
        </w:rPr>
        <w:t>I</w:t>
      </w:r>
      <w:r>
        <w:rPr>
          <w:iCs/>
          <w:vertAlign w:val="subscript"/>
        </w:rPr>
        <w:t>a</w:t>
      </w:r>
      <w:proofErr w:type="spellEnd"/>
      <w:r>
        <w:t>=4A</w:t>
      </w:r>
      <w:r>
        <w:rPr>
          <w:vertAlign w:val="superscript"/>
        </w:rPr>
        <w:t>[19]</w:t>
      </w:r>
    </w:p>
    <w:p w:rsidR="00054332" w:rsidRDefault="00054332" w:rsidP="00054332">
      <w:proofErr w:type="gramStart"/>
      <w:r>
        <w:t>is</w:t>
      </w:r>
      <w:proofErr w:type="gramEnd"/>
      <w:r>
        <w:t xml:space="preserve"> the lowest. </w:t>
      </w:r>
      <w:r>
        <w:rPr>
          <w:lang w:val="en-GB"/>
        </w:rPr>
        <w:t xml:space="preserve">When </w:t>
      </w:r>
      <w:r>
        <w:rPr>
          <w:rFonts w:ascii="Symbol" w:hAnsi="Symbol"/>
          <w:i/>
          <w:iCs/>
        </w:rPr>
        <w:t></w:t>
      </w:r>
      <w:r>
        <w:rPr>
          <w:rFonts w:ascii="Symbol" w:hAnsi="Symbol"/>
          <w:i/>
          <w:iCs/>
        </w:rPr>
        <w:t></w:t>
      </w:r>
      <w:r>
        <w:t>=9</w:t>
      </w:r>
      <w:r>
        <w:rPr>
          <w:rFonts w:hint="eastAsia"/>
        </w:rPr>
        <w:t>0</w:t>
      </w:r>
      <w:r>
        <w:rPr>
          <w:rFonts w:ascii="Times" w:hAnsi="Times" w:hint="eastAsia"/>
          <w:spacing w:val="-60"/>
          <w:lang w:val="en-GB"/>
        </w:rPr>
        <w:t>°</w:t>
      </w:r>
      <w:r>
        <w:t xml:space="preserve">, </w:t>
      </w:r>
      <w:r>
        <w:rPr>
          <w:i/>
        </w:rPr>
        <w:t>I</w:t>
      </w:r>
      <w:r>
        <w:rPr>
          <w:vertAlign w:val="subscript"/>
        </w:rPr>
        <w:t>d</w:t>
      </w:r>
      <w:r>
        <w:t xml:space="preserve"> is at the negative maximum and the magnetic saturation along the d-axis is the lowest due to the maximum flux weakening.</w:t>
      </w:r>
      <w:r>
        <w:rPr>
          <w:lang w:val="en-GB"/>
        </w:rPr>
        <w:t xml:space="preserve"> </w:t>
      </w:r>
      <w:r>
        <w:t xml:space="preserve">Therefore, </w:t>
      </w:r>
      <w:r>
        <w:rPr>
          <w:rFonts w:ascii="Symbol" w:hAnsi="Symbol"/>
          <w:i/>
          <w:iCs/>
          <w:position w:val="2"/>
        </w:rPr>
        <w:t></w:t>
      </w:r>
      <w:proofErr w:type="gramStart"/>
      <w:r>
        <w:rPr>
          <w:vertAlign w:val="subscript"/>
          <w:lang w:val="en-GB"/>
        </w:rPr>
        <w:t>d</w:t>
      </w:r>
      <w:r>
        <w:rPr>
          <w:lang w:val="en-GB"/>
        </w:rPr>
        <w:t>(</w:t>
      </w:r>
      <w:proofErr w:type="gramEnd"/>
      <w:r>
        <w:rPr>
          <w:lang w:val="en-GB"/>
        </w:rPr>
        <w:t xml:space="preserve">PM) and </w:t>
      </w:r>
      <w:proofErr w:type="spellStart"/>
      <w:r>
        <w:rPr>
          <w:i/>
          <w:lang w:val="en-GB"/>
        </w:rPr>
        <w:t>L</w:t>
      </w:r>
      <w:r>
        <w:rPr>
          <w:vertAlign w:val="subscript"/>
          <w:lang w:val="en-GB"/>
        </w:rPr>
        <w:t>dd</w:t>
      </w:r>
      <w:proofErr w:type="spellEnd"/>
      <w:r>
        <w:t xml:space="preserve"> are at the maximum. </w:t>
      </w:r>
      <w:r>
        <w:rPr>
          <w:lang w:val="en-GB"/>
        </w:rPr>
        <w:t xml:space="preserve">The influence of cross-coupling is represented by the variation of </w:t>
      </w:r>
      <w:r>
        <w:rPr>
          <w:rFonts w:ascii="Symbol" w:hAnsi="Symbol"/>
          <w:i/>
          <w:iCs/>
          <w:position w:val="2"/>
        </w:rPr>
        <w:t></w:t>
      </w:r>
      <w:proofErr w:type="gramStart"/>
      <w:r>
        <w:rPr>
          <w:vertAlign w:val="subscript"/>
          <w:lang w:val="en-GB"/>
        </w:rPr>
        <w:t>q</w:t>
      </w:r>
      <w:r>
        <w:rPr>
          <w:lang w:val="en-GB"/>
        </w:rPr>
        <w:t>(</w:t>
      </w:r>
      <w:proofErr w:type="gramEnd"/>
      <w:r>
        <w:rPr>
          <w:lang w:val="en-GB"/>
        </w:rPr>
        <w:t xml:space="preserve">PM) and </w:t>
      </w:r>
      <w:proofErr w:type="spellStart"/>
      <w:r>
        <w:rPr>
          <w:i/>
          <w:lang w:val="en-GB"/>
        </w:rPr>
        <w:t>L</w:t>
      </w:r>
      <w:r>
        <w:rPr>
          <w:vertAlign w:val="subscript"/>
          <w:lang w:val="en-GB"/>
        </w:rPr>
        <w:t>dq</w:t>
      </w:r>
      <w:proofErr w:type="spellEnd"/>
      <w:r>
        <w:rPr>
          <w:rFonts w:hint="eastAsia"/>
          <w:lang w:val="en-GB"/>
        </w:rPr>
        <w:t>.</w:t>
      </w:r>
      <w:r>
        <w:rPr>
          <w:lang w:val="en-GB"/>
        </w:rPr>
        <w:t xml:space="preserve"> The cross-coupling </w:t>
      </w:r>
      <w:r>
        <w:t xml:space="preserve">is zero and hence </w:t>
      </w:r>
      <w:r>
        <w:rPr>
          <w:rFonts w:ascii="Symbol" w:hAnsi="Symbol"/>
          <w:i/>
          <w:iCs/>
          <w:position w:val="2"/>
        </w:rPr>
        <w:t></w:t>
      </w:r>
      <w:r>
        <w:rPr>
          <w:vertAlign w:val="subscript"/>
          <w:lang w:val="en-GB"/>
        </w:rPr>
        <w:t>q</w:t>
      </w:r>
      <w:r>
        <w:rPr>
          <w:lang w:val="en-GB"/>
        </w:rPr>
        <w:t xml:space="preserve">(PM) and </w:t>
      </w:r>
      <w:proofErr w:type="spellStart"/>
      <w:r>
        <w:rPr>
          <w:i/>
          <w:lang w:val="en-GB"/>
        </w:rPr>
        <w:t>L</w:t>
      </w:r>
      <w:r>
        <w:rPr>
          <w:vertAlign w:val="subscript"/>
          <w:lang w:val="en-GB"/>
        </w:rPr>
        <w:t>dq</w:t>
      </w:r>
      <w:proofErr w:type="spellEnd"/>
      <w:r>
        <w:rPr>
          <w:lang w:val="en-GB"/>
        </w:rPr>
        <w:t xml:space="preserve"> </w:t>
      </w:r>
      <w:r>
        <w:t xml:space="preserve">are zero when </w:t>
      </w:r>
      <w:r>
        <w:rPr>
          <w:rFonts w:ascii="Symbol" w:hAnsi="Symbol"/>
          <w:i/>
          <w:iCs/>
        </w:rPr>
        <w:t></w:t>
      </w:r>
      <w:r>
        <w:rPr>
          <w:rFonts w:ascii="Symbol" w:hAnsi="Symbol"/>
          <w:i/>
          <w:iCs/>
        </w:rPr>
        <w:t></w:t>
      </w:r>
      <w:r>
        <w:t>=±9</w:t>
      </w:r>
      <w:r>
        <w:rPr>
          <w:rFonts w:hint="eastAsia"/>
        </w:rPr>
        <w:t>0</w:t>
      </w:r>
      <w:r>
        <w:rPr>
          <w:rFonts w:ascii="Times" w:hAnsi="Times" w:hint="eastAsia"/>
          <w:spacing w:val="-60"/>
          <w:lang w:val="en-GB"/>
        </w:rPr>
        <w:t>°</w:t>
      </w:r>
      <w:r>
        <w:rPr>
          <w:rFonts w:hint="eastAsia"/>
        </w:rPr>
        <w:t>,</w:t>
      </w:r>
      <w:r>
        <w:t xml:space="preserve"> since all excitations are applied to the </w:t>
      </w:r>
      <w:r>
        <w:rPr>
          <w:iCs/>
        </w:rPr>
        <w:t>d</w:t>
      </w:r>
      <w:r>
        <w:t xml:space="preserve">-axis. Although </w:t>
      </w:r>
      <w:proofErr w:type="spellStart"/>
      <w:r>
        <w:rPr>
          <w:i/>
        </w:rPr>
        <w:t>I</w:t>
      </w:r>
      <w:r>
        <w:rPr>
          <w:vertAlign w:val="subscript"/>
        </w:rPr>
        <w:t>q</w:t>
      </w:r>
      <w:proofErr w:type="spellEnd"/>
      <w:r>
        <w:t xml:space="preserve"> is maximum when </w:t>
      </w:r>
      <w:r>
        <w:rPr>
          <w:rFonts w:ascii="Symbol" w:hAnsi="Symbol"/>
          <w:i/>
          <w:iCs/>
        </w:rPr>
        <w:t></w:t>
      </w:r>
      <w:r>
        <w:rPr>
          <w:rFonts w:ascii="Symbol" w:hAnsi="Symbol"/>
          <w:i/>
          <w:iCs/>
        </w:rPr>
        <w:t></w:t>
      </w:r>
      <w:r>
        <w:t>=</w:t>
      </w:r>
      <w:r>
        <w:rPr>
          <w:rFonts w:hint="eastAsia"/>
        </w:rPr>
        <w:t>0</w:t>
      </w:r>
      <w:r>
        <w:rPr>
          <w:rFonts w:ascii="Times" w:hAnsi="Times" w:hint="eastAsia"/>
          <w:spacing w:val="-60"/>
          <w:lang w:val="en-GB"/>
        </w:rPr>
        <w:t>°</w:t>
      </w:r>
      <w:r>
        <w:t xml:space="preserve">, the cross-coupling is the heaviest when </w:t>
      </w:r>
      <w:r>
        <w:rPr>
          <w:rFonts w:ascii="Symbol" w:hAnsi="Symbol"/>
          <w:i/>
          <w:iCs/>
        </w:rPr>
        <w:t></w:t>
      </w:r>
      <w:r>
        <w:rPr>
          <w:rFonts w:ascii="Symbol" w:hAnsi="Symbol"/>
          <w:i/>
          <w:iCs/>
        </w:rPr>
        <w:t></w:t>
      </w:r>
      <w:r>
        <w:t>=</w:t>
      </w:r>
      <w:r>
        <w:rPr>
          <w:rFonts w:ascii="Symbol" w:hAnsi="Symbol"/>
          <w:i/>
          <w:iCs/>
        </w:rPr>
        <w:t></w:t>
      </w:r>
      <w:r>
        <w:t>3</w:t>
      </w:r>
      <w:r>
        <w:rPr>
          <w:rFonts w:hint="eastAsia"/>
        </w:rPr>
        <w:t>0</w:t>
      </w:r>
      <w:r>
        <w:rPr>
          <w:rFonts w:ascii="Times" w:hAnsi="Times" w:hint="eastAsia"/>
          <w:spacing w:val="-60"/>
          <w:lang w:val="en-GB"/>
        </w:rPr>
        <w:t>°</w:t>
      </w:r>
      <w:r>
        <w:rPr>
          <w:rFonts w:hint="eastAsia"/>
        </w:rPr>
        <w:t>.</w:t>
      </w:r>
      <w:r>
        <w:rPr>
          <w:lang w:val="en-GB"/>
        </w:rPr>
        <w:t xml:space="preserve"> It is due to that the cross-coupling is aggravated by </w:t>
      </w:r>
      <w:r>
        <w:t>the magnetic saturation.</w:t>
      </w:r>
    </w:p>
    <w:p w:rsidR="00054332" w:rsidRDefault="00054332" w:rsidP="00054332">
      <w:pPr>
        <w:ind w:firstLineChars="200" w:firstLine="424"/>
        <w:rPr>
          <w:szCs w:val="20"/>
        </w:rPr>
      </w:pPr>
      <w:r>
        <w:t>Some of the other examples of on-load flux linkage and inductance calculation using FP technique can be found in Ref</w:t>
      </w:r>
      <w:proofErr w:type="gramStart"/>
      <w:r>
        <w:t>.[</w:t>
      </w:r>
      <w:proofErr w:type="gramEnd"/>
      <w:r>
        <w:t xml:space="preserve">15, 24, 31]. </w:t>
      </w:r>
      <w:r>
        <w:rPr>
          <w:szCs w:val="20"/>
        </w:rPr>
        <w:t>In Ref</w:t>
      </w:r>
      <w:proofErr w:type="gramStart"/>
      <w:r>
        <w:rPr>
          <w:szCs w:val="20"/>
        </w:rPr>
        <w:t>.[</w:t>
      </w:r>
      <w:proofErr w:type="gramEnd"/>
      <w:r>
        <w:rPr>
          <w:szCs w:val="20"/>
        </w:rPr>
        <w:t>15], the d- and q-axis inductances are predicted based on the combination of FP and stored magnetic energy method to improve accuracy of torque estimation in a 36-slot/4-pole (36s/4p) IPM machine. In Ref</w:t>
      </w:r>
      <w:proofErr w:type="gramStart"/>
      <w:r>
        <w:rPr>
          <w:szCs w:val="20"/>
        </w:rPr>
        <w:t>.[</w:t>
      </w:r>
      <w:proofErr w:type="gramEnd"/>
      <w:r>
        <w:rPr>
          <w:szCs w:val="20"/>
        </w:rPr>
        <w:t>24], the on-load PM flux linkages and inductances are calculated for the output torque estimation of a 30s/36p inset PM machine. It shows the torque variation with the current phase advance angle can be predicted more accurately when the cross-coupling term is taken into consideration</w:t>
      </w:r>
      <w:r>
        <w:rPr>
          <w:rFonts w:hint="eastAsia"/>
          <w:szCs w:val="20"/>
        </w:rPr>
        <w:t>.</w:t>
      </w:r>
      <w:r>
        <w:rPr>
          <w:szCs w:val="20"/>
        </w:rPr>
        <w:t xml:space="preserve"> In Ref</w:t>
      </w:r>
      <w:proofErr w:type="gramStart"/>
      <w:r>
        <w:rPr>
          <w:szCs w:val="20"/>
        </w:rPr>
        <w:t>.[</w:t>
      </w:r>
      <w:proofErr w:type="gramEnd"/>
      <w:r>
        <w:rPr>
          <w:szCs w:val="20"/>
        </w:rPr>
        <w:t>25], flux linkage components are obtained for the inductances and torque components comparison between two 5-phase 20-slot fault-tolerant PM machines. One has 18-pole spoke-type rotor and the other one has 20-pole V-shape rotor. In Ref</w:t>
      </w:r>
      <w:proofErr w:type="gramStart"/>
      <w:r>
        <w:rPr>
          <w:szCs w:val="20"/>
        </w:rPr>
        <w:t>.[</w:t>
      </w:r>
      <w:proofErr w:type="gramEnd"/>
      <w:r>
        <w:rPr>
          <w:szCs w:val="20"/>
        </w:rPr>
        <w:t>26], the variations of average line inductance and its ripple with the load of a 24s/4p SPM machine driven by a 6-step 3-phase BLDC inverter are calculated</w:t>
      </w:r>
      <w:r>
        <w:rPr>
          <w:rFonts w:hint="eastAsia"/>
          <w:szCs w:val="20"/>
        </w:rPr>
        <w:t>.</w:t>
      </w:r>
      <w:r>
        <w:rPr>
          <w:szCs w:val="20"/>
        </w:rPr>
        <w:t xml:space="preserve"> The FP technique is also employed to calculate the self- and mutual inductances between different phases in a tubular permanent magnet machine with transverse flux configuration for electromagnetic launch (EML) applications in Ref</w:t>
      </w:r>
      <w:proofErr w:type="gramStart"/>
      <w:r>
        <w:rPr>
          <w:szCs w:val="20"/>
        </w:rPr>
        <w:t>.[</w:t>
      </w:r>
      <w:proofErr w:type="gramEnd"/>
      <w:r>
        <w:rPr>
          <w:szCs w:val="20"/>
        </w:rPr>
        <w:t>27</w:t>
      </w:r>
      <w:r>
        <w:rPr>
          <w:rFonts w:hint="eastAsia"/>
          <w:szCs w:val="20"/>
        </w:rPr>
        <w:t>,</w:t>
      </w:r>
      <w:r>
        <w:rPr>
          <w:szCs w:val="20"/>
        </w:rPr>
        <w:t xml:space="preserve">28], the d- and q-axis inductances of variable-flux flux-intensifying PM machine in Ref.[29], and the </w:t>
      </w:r>
      <w:r>
        <w:rPr>
          <w:iCs/>
          <w:szCs w:val="20"/>
        </w:rPr>
        <w:t>d</w:t>
      </w:r>
      <w:r>
        <w:rPr>
          <w:szCs w:val="20"/>
        </w:rPr>
        <w:t xml:space="preserve">-axis flux linkage components of stator slot PM machine with doubly salient structure in Ref.[30]. In Ref.[31], the on-load PM flux linkage of double-stator flux-switching PM </w:t>
      </w:r>
      <w:r>
        <w:rPr>
          <w:szCs w:val="20"/>
        </w:rPr>
        <w:lastRenderedPageBreak/>
        <w:t>machine using ferrite magnet is calculated by FP technique to explain the torque deterioration due to magnetic saturation under heavy load.</w:t>
      </w:r>
    </w:p>
    <w:p w:rsidR="00054332" w:rsidRDefault="00054332" w:rsidP="00054332">
      <w:pPr>
        <w:pStyle w:val="3"/>
        <w:rPr>
          <w:rFonts w:ascii="SimSun" w:hAnsi="SimSun"/>
        </w:rPr>
      </w:pPr>
      <w:proofErr w:type="gramStart"/>
      <w:r>
        <w:rPr>
          <w:rFonts w:hint="eastAsia"/>
          <w:color w:val="000000"/>
        </w:rPr>
        <w:t>4</w:t>
      </w:r>
      <w:r>
        <w:rPr>
          <w:color w:val="000000"/>
        </w:rPr>
        <w:t xml:space="preserve">  </w:t>
      </w:r>
      <w:r>
        <w:t>Separation</w:t>
      </w:r>
      <w:proofErr w:type="gramEnd"/>
      <w:r>
        <w:t xml:space="preserve"> of Torque Components </w:t>
      </w:r>
    </w:p>
    <w:p w:rsidR="00054332" w:rsidRDefault="00054332" w:rsidP="00054332">
      <w:pPr>
        <w:ind w:firstLineChars="200" w:firstLine="424"/>
      </w:pPr>
      <w:r>
        <w:t xml:space="preserve">Based on the flux linkage components and inductances, it is then possible to discuss the torque component separation. Before the torque component separation, it is necessary to review the torque calculation theories. </w:t>
      </w:r>
    </w:p>
    <w:p w:rsidR="00054332" w:rsidRDefault="00054332" w:rsidP="00054332">
      <w:pPr>
        <w:ind w:firstLineChars="200" w:firstLine="424"/>
      </w:pPr>
      <w:r>
        <w:t>The Maxwell stress tensor and virtual work principle are two most widely used methods for torque calculation. It is well</w:t>
      </w:r>
      <w:r>
        <w:rPr>
          <w:rFonts w:hint="eastAsia"/>
        </w:rPr>
        <w:t>-</w:t>
      </w:r>
      <w:r>
        <w:t xml:space="preserve">known that these two methods are identical for torque calculation in normal FE simulations although attention should be paid to the mesh </w:t>
      </w:r>
      <w:proofErr w:type="spellStart"/>
      <w:proofErr w:type="gramStart"/>
      <w:r>
        <w:t>discretization</w:t>
      </w:r>
      <w:proofErr w:type="spellEnd"/>
      <w:r>
        <w:rPr>
          <w:vertAlign w:val="superscript"/>
        </w:rPr>
        <w:t>[</w:t>
      </w:r>
      <w:proofErr w:type="gramEnd"/>
      <w:r>
        <w:rPr>
          <w:vertAlign w:val="superscript"/>
        </w:rPr>
        <w:t>32,33]</w:t>
      </w:r>
      <w:r>
        <w:t>. This is also confirmed by Fig.8</w:t>
      </w:r>
      <w:r>
        <w:rPr>
          <w:rFonts w:hint="eastAsia"/>
        </w:rPr>
        <w:t>,</w:t>
      </w:r>
      <w:r>
        <w:t xml:space="preserve"> which shows the instantaneous torque waveforms of the inset PM machine listed in Tab</w:t>
      </w:r>
      <w:r>
        <w:rPr>
          <w:rFonts w:hint="eastAsia"/>
        </w:rPr>
        <w:t>.</w:t>
      </w:r>
      <w:r>
        <w:t xml:space="preserve">1 when </w:t>
      </w:r>
      <w:proofErr w:type="spellStart"/>
      <w:r>
        <w:rPr>
          <w:bCs/>
          <w:i/>
          <w:lang w:val="en-GB"/>
        </w:rPr>
        <w:t>I</w:t>
      </w:r>
      <w:r>
        <w:rPr>
          <w:bCs/>
          <w:vertAlign w:val="subscript"/>
          <w:lang w:val="en-GB"/>
        </w:rPr>
        <w:t>a</w:t>
      </w:r>
      <w:proofErr w:type="spellEnd"/>
      <w:r>
        <w:rPr>
          <w:bCs/>
          <w:lang w:val="en-GB"/>
        </w:rPr>
        <w:t xml:space="preserve">=4.0A and </w:t>
      </w:r>
      <w:r>
        <w:rPr>
          <w:rFonts w:ascii="Symbol" w:hAnsi="Symbol"/>
          <w:i/>
          <w:iCs/>
        </w:rPr>
        <w:t></w:t>
      </w:r>
      <w:r>
        <w:rPr>
          <w:bCs/>
          <w:lang w:val="en-GB"/>
        </w:rPr>
        <w:t>=</w:t>
      </w:r>
      <w:r>
        <w:rPr>
          <w:rFonts w:ascii="Symbol" w:hAnsi="Symbol"/>
          <w:i/>
          <w:iCs/>
        </w:rPr>
        <w:t></w:t>
      </w:r>
      <w:r>
        <w:rPr>
          <w:bCs/>
          <w:lang w:val="en-GB"/>
        </w:rPr>
        <w:t>30</w:t>
      </w:r>
      <w:r>
        <w:rPr>
          <w:rFonts w:ascii="Times" w:hAnsi="Times" w:hint="eastAsia"/>
          <w:spacing w:val="-60"/>
          <w:lang w:val="en-GB"/>
        </w:rPr>
        <w:t>°</w:t>
      </w:r>
      <w:r>
        <w:rPr>
          <w:rFonts w:hint="eastAsia"/>
        </w:rPr>
        <w:t>.</w:t>
      </w:r>
      <w:r>
        <w:t xml:space="preserve"> The torque calculation using virtual work principle is given as </w:t>
      </w:r>
    </w:p>
    <w:p w:rsidR="00054332" w:rsidRDefault="00054332" w:rsidP="00C6215D">
      <w:pPr>
        <w:spacing w:beforeLines="50"/>
        <w:jc w:val="right"/>
        <w:rPr>
          <w:color w:val="000000"/>
        </w:rPr>
      </w:pPr>
      <w:r w:rsidRPr="005311D5">
        <w:rPr>
          <w:position w:val="-26"/>
        </w:rPr>
        <w:object w:dxaOrig="3060" w:dyaOrig="600">
          <v:shape id="_x0000_i1027" type="#_x0000_t75" style="width:152.75pt;height:30.05pt" o:ole="">
            <v:imagedata r:id="rId31" o:title=""/>
          </v:shape>
          <o:OLEObject Type="Embed" ProgID="Equation.DSMT4" ShapeID="_x0000_i1027" DrawAspect="Content" ObjectID="_1650288990" r:id="rId32"/>
        </w:object>
      </w:r>
      <w:r>
        <w:rPr>
          <w:rFonts w:hint="eastAsia"/>
        </w:rPr>
        <w:t xml:space="preserve"> </w:t>
      </w:r>
      <w:r>
        <w:t xml:space="preserve">  </w:t>
      </w:r>
      <w:r>
        <w:rPr>
          <w:rFonts w:hint="eastAsia"/>
        </w:rPr>
        <w:t>（</w:t>
      </w:r>
      <w:r>
        <w:t>3</w:t>
      </w:r>
      <w:r>
        <w:rPr>
          <w:rFonts w:hint="eastAsia"/>
        </w:rPr>
        <w:t>）</w:t>
      </w:r>
    </w:p>
    <w:p w:rsidR="00054332" w:rsidRDefault="00054332" w:rsidP="00054332">
      <w:pPr>
        <w:jc w:val="right"/>
      </w:pPr>
      <w:r w:rsidRPr="005311D5">
        <w:rPr>
          <w:position w:val="-28"/>
        </w:rPr>
        <w:object w:dxaOrig="3480" w:dyaOrig="660">
          <v:shape id="_x0000_i1028" type="#_x0000_t75" style="width:174.05pt;height:33.2pt" o:ole="">
            <v:imagedata r:id="rId33" o:title=""/>
          </v:shape>
          <o:OLEObject Type="Embed" ProgID="Equation.DSMT4" ShapeID="_x0000_i1028" DrawAspect="Content" ObjectID="_1650288991" r:id="rId34"/>
        </w:object>
      </w:r>
      <w:r>
        <w:t xml:space="preserve">  </w:t>
      </w:r>
      <w:r>
        <w:rPr>
          <w:rFonts w:hint="eastAsia"/>
        </w:rPr>
        <w:t>（</w:t>
      </w:r>
      <w:r>
        <w:t>4</w:t>
      </w:r>
      <w:r>
        <w:rPr>
          <w:rFonts w:hint="eastAsia"/>
        </w:rPr>
        <w:t>）</w:t>
      </w:r>
    </w:p>
    <w:p w:rsidR="00054332" w:rsidRDefault="00054332" w:rsidP="00054332">
      <w:proofErr w:type="gramStart"/>
      <w:r>
        <w:t>where</w:t>
      </w:r>
      <w:proofErr w:type="gramEnd"/>
      <w:r>
        <w:t xml:space="preserve"> </w:t>
      </w:r>
      <w:r w:rsidRPr="005311D5">
        <w:rPr>
          <w:position w:val="-10"/>
        </w:rPr>
        <w:object w:dxaOrig="340" w:dyaOrig="300">
          <v:shape id="_x0000_i1029" type="#_x0000_t75" style="width:16.9pt;height:15.05pt" o:ole="">
            <v:imagedata r:id="rId35" o:title=""/>
          </v:shape>
          <o:OLEObject Type="Embed" ProgID="Equation.DSMT4" ShapeID="_x0000_i1029" DrawAspect="Content" ObjectID="_1650288992" r:id="rId36"/>
        </w:object>
      </w:r>
      <w:r>
        <w:t xml:space="preserve"> is the magnetic co-energy. </w:t>
      </w:r>
      <w:r>
        <w:rPr>
          <w:i/>
        </w:rPr>
        <w:t>W</w:t>
      </w:r>
      <w:r>
        <w:rPr>
          <w:vertAlign w:val="subscript"/>
        </w:rPr>
        <w:t>in</w:t>
      </w:r>
      <w:r>
        <w:t xml:space="preserve"> and </w:t>
      </w:r>
      <w:r>
        <w:rPr>
          <w:i/>
        </w:rPr>
        <w:t>T</w:t>
      </w:r>
      <w:r>
        <w:rPr>
          <w:vertAlign w:val="subscript"/>
        </w:rPr>
        <w:t>in</w:t>
      </w:r>
      <w:r>
        <w:rPr>
          <w:i/>
        </w:rPr>
        <w:t xml:space="preserve"> </w:t>
      </w:r>
      <w:r>
        <w:t xml:space="preserve">are the input energy and corresponding torque. </w:t>
      </w:r>
      <w:r>
        <w:rPr>
          <w:i/>
        </w:rPr>
        <w:t>W</w:t>
      </w:r>
      <w:r>
        <w:rPr>
          <w:vertAlign w:val="subscript"/>
        </w:rPr>
        <w:t>m</w:t>
      </w:r>
      <w:r>
        <w:t xml:space="preserve"> is the stored magnetic energy in the machine. </w:t>
      </w:r>
      <w:r>
        <w:rPr>
          <w:rFonts w:ascii="Symbol" w:hAnsi="Symbol"/>
          <w:i/>
          <w:iCs/>
        </w:rPr>
        <w:t></w:t>
      </w:r>
      <w:r>
        <w:rPr>
          <w:vertAlign w:val="subscript"/>
          <w:lang w:val="en-GB"/>
        </w:rPr>
        <w:t>m</w:t>
      </w:r>
      <w:r>
        <w:t xml:space="preserve"> is the rotor position in mechanical angle.</w:t>
      </w:r>
    </w:p>
    <w:p w:rsidR="00054332" w:rsidRDefault="00054332" w:rsidP="00C6215D">
      <w:pPr>
        <w:spacing w:beforeLines="30"/>
        <w:jc w:val="center"/>
        <w:rPr>
          <w:sz w:val="18"/>
          <w:szCs w:val="18"/>
        </w:rPr>
      </w:pPr>
      <w:r>
        <w:rPr>
          <w:noProof/>
        </w:rPr>
        <w:drawing>
          <wp:inline distT="0" distB="0" distL="0" distR="0">
            <wp:extent cx="2774950" cy="1733550"/>
            <wp:effectExtent l="19050" t="0" r="6350" b="0"/>
            <wp:docPr id="23" name="图片 23" descr="..\..\..\图片\新建文件夹\1000\10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新建文件夹\1000\100008.tif"/>
                    <pic:cNvPicPr>
                      <a:picLocks noChangeAspect="1" noChangeArrowheads="1"/>
                    </pic:cNvPicPr>
                  </pic:nvPicPr>
                  <pic:blipFill>
                    <a:blip r:embed="rId37" cstate="print">
                      <a:grayscl/>
                    </a:blip>
                    <a:srcRect/>
                    <a:stretch>
                      <a:fillRect/>
                    </a:stretch>
                  </pic:blipFill>
                  <pic:spPr bwMode="auto">
                    <a:xfrm>
                      <a:off x="0" y="0"/>
                      <a:ext cx="2774950" cy="1733550"/>
                    </a:xfrm>
                    <a:prstGeom prst="rect">
                      <a:avLst/>
                    </a:prstGeom>
                    <a:noFill/>
                    <a:ln w="9525">
                      <a:noFill/>
                      <a:miter lim="800000"/>
                      <a:headEnd/>
                      <a:tailEnd/>
                    </a:ln>
                  </pic:spPr>
                </pic:pic>
              </a:graphicData>
            </a:graphic>
          </wp:inline>
        </w:drawing>
      </w:r>
    </w:p>
    <w:p w:rsidR="00054332" w:rsidRDefault="00054332" w:rsidP="00054332">
      <w:pPr>
        <w:pStyle w:val="ae"/>
      </w:pPr>
      <w:r>
        <w:t xml:space="preserve">Fig.8 </w:t>
      </w:r>
      <w:r>
        <w:rPr>
          <w:rFonts w:hint="eastAsia"/>
        </w:rPr>
        <w:t xml:space="preserve"> </w:t>
      </w:r>
      <w:r>
        <w:t xml:space="preserve">Torque components of inset PM machine </w:t>
      </w:r>
      <w:r>
        <w:rPr>
          <w:lang w:val="en-GB"/>
        </w:rPr>
        <w:t xml:space="preserve">when </w:t>
      </w:r>
      <w:proofErr w:type="spellStart"/>
      <w:r>
        <w:rPr>
          <w:i/>
          <w:lang w:val="en-GB"/>
        </w:rPr>
        <w:t>I</w:t>
      </w:r>
      <w:r>
        <w:rPr>
          <w:vertAlign w:val="subscript"/>
          <w:lang w:val="en-GB"/>
        </w:rPr>
        <w:t>a</w:t>
      </w:r>
      <w:proofErr w:type="spellEnd"/>
      <w:r>
        <w:rPr>
          <w:lang w:val="en-GB"/>
        </w:rPr>
        <w:t xml:space="preserve">=4.0A and </w:t>
      </w:r>
      <w:r>
        <w:rPr>
          <w:rFonts w:ascii="Symbol" w:hAnsi="Symbol"/>
          <w:i/>
          <w:iCs/>
        </w:rPr>
        <w:t></w:t>
      </w:r>
      <w:r>
        <w:rPr>
          <w:rFonts w:ascii="Symbol" w:hAnsi="Symbol"/>
          <w:i/>
          <w:iCs/>
        </w:rPr>
        <w:t></w:t>
      </w:r>
      <w:r>
        <w:rPr>
          <w:lang w:val="en-GB"/>
        </w:rPr>
        <w:t>=</w:t>
      </w:r>
      <w:r>
        <w:rPr>
          <w:rFonts w:ascii="Symbol" w:hAnsi="Symbol"/>
          <w:i/>
          <w:iCs/>
        </w:rPr>
        <w:t></w:t>
      </w:r>
      <w:r>
        <w:rPr>
          <w:lang w:val="en-GB"/>
        </w:rPr>
        <w:t>30</w:t>
      </w:r>
      <w:r>
        <w:rPr>
          <w:rFonts w:hint="eastAsia"/>
          <w:spacing w:val="-60"/>
        </w:rPr>
        <w:t>°</w:t>
      </w:r>
      <w:r>
        <w:rPr>
          <w:vertAlign w:val="superscript"/>
        </w:rPr>
        <w:t>[19]</w:t>
      </w:r>
    </w:p>
    <w:p w:rsidR="00054332" w:rsidRDefault="00054332" w:rsidP="00C6215D">
      <w:pPr>
        <w:spacing w:beforeLines="20"/>
        <w:ind w:firstLineChars="200" w:firstLine="424"/>
      </w:pPr>
      <w:r>
        <w:t>Since ∂</w:t>
      </w:r>
      <w:r>
        <w:rPr>
          <w:i/>
          <w:lang w:val="en-GB"/>
        </w:rPr>
        <w:t>W</w:t>
      </w:r>
      <w:r>
        <w:rPr>
          <w:vertAlign w:val="subscript"/>
          <w:lang w:val="en-GB"/>
        </w:rPr>
        <w:t>m</w:t>
      </w:r>
      <w:r>
        <w:rPr>
          <w:lang w:val="en-GB"/>
        </w:rPr>
        <w:t>/</w:t>
      </w:r>
      <w:r>
        <w:t>∂</w:t>
      </w:r>
      <w:r>
        <w:rPr>
          <w:rFonts w:ascii="Symbol" w:hAnsi="Symbol"/>
          <w:i/>
          <w:iCs/>
        </w:rPr>
        <w:t></w:t>
      </w:r>
      <w:r>
        <w:rPr>
          <w:vertAlign w:val="subscript"/>
          <w:lang w:val="en-GB"/>
        </w:rPr>
        <w:t>m</w:t>
      </w:r>
      <w:r>
        <w:rPr>
          <w:rFonts w:hint="eastAsia"/>
        </w:rPr>
        <w:t>,</w:t>
      </w:r>
      <w:r>
        <w:t xml:space="preserve"> </w:t>
      </w:r>
      <w:r>
        <w:rPr>
          <w:rFonts w:ascii="Symbol" w:hAnsi="Symbol"/>
          <w:i/>
          <w:iCs/>
          <w:position w:val="2"/>
        </w:rPr>
        <w:t></w:t>
      </w:r>
      <w:r>
        <w:rPr>
          <w:vertAlign w:val="subscript"/>
          <w:lang w:val="en-GB"/>
        </w:rPr>
        <w:t>d</w:t>
      </w:r>
      <w:r>
        <w:rPr>
          <w:lang w:val="en-GB"/>
        </w:rPr>
        <w:t>/</w:t>
      </w:r>
      <w:r>
        <w:rPr>
          <w:iCs/>
          <w:lang w:val="en-GB"/>
        </w:rPr>
        <w:t>d</w:t>
      </w:r>
      <w:r>
        <w:rPr>
          <w:rFonts w:ascii="Symbol" w:hAnsi="Symbol"/>
          <w:i/>
          <w:iCs/>
        </w:rPr>
        <w:t></w:t>
      </w:r>
      <w:r>
        <w:rPr>
          <w:lang w:val="en-GB"/>
        </w:rPr>
        <w:t xml:space="preserve">, and </w:t>
      </w:r>
      <w:r>
        <w:rPr>
          <w:rFonts w:ascii="Symbol" w:hAnsi="Symbol"/>
          <w:i/>
          <w:iCs/>
          <w:position w:val="2"/>
        </w:rPr>
        <w:t></w:t>
      </w:r>
      <w:r>
        <w:rPr>
          <w:vertAlign w:val="subscript"/>
          <w:lang w:val="en-GB"/>
        </w:rPr>
        <w:t>q</w:t>
      </w:r>
      <w:r>
        <w:rPr>
          <w:lang w:val="en-GB"/>
        </w:rPr>
        <w:t>/</w:t>
      </w:r>
      <w:r>
        <w:rPr>
          <w:iCs/>
          <w:lang w:val="en-GB"/>
        </w:rPr>
        <w:t>d</w:t>
      </w:r>
      <w:r>
        <w:rPr>
          <w:rFonts w:ascii="Symbol" w:hAnsi="Symbol"/>
          <w:i/>
          <w:iCs/>
        </w:rPr>
        <w:t></w:t>
      </w:r>
      <w:r>
        <w:rPr>
          <w:lang w:val="en-GB"/>
        </w:rPr>
        <w:t xml:space="preserve"> have no contribution to the average torque</w:t>
      </w:r>
      <w:r>
        <w:t xml:space="preserve"> based on the fact that the magnetic field repeats every cycle, the </w:t>
      </w:r>
      <w:r>
        <w:lastRenderedPageBreak/>
        <w:t xml:space="preserve">average torque can also be calculated by the classical </w:t>
      </w:r>
      <w:r>
        <w:rPr>
          <w:iCs/>
        </w:rPr>
        <w:t>dq</w:t>
      </w:r>
      <w:r>
        <w:t xml:space="preserve">0 model in </w:t>
      </w:r>
      <w:proofErr w:type="spellStart"/>
      <w:r>
        <w:t>Equ</w:t>
      </w:r>
      <w:proofErr w:type="spellEnd"/>
      <w:r>
        <w:t xml:space="preserve">.(5). Since </w:t>
      </w:r>
      <w:proofErr w:type="spellStart"/>
      <w:r>
        <w:t>Equ</w:t>
      </w:r>
      <w:proofErr w:type="spellEnd"/>
      <w:proofErr w:type="gramStart"/>
      <w:r>
        <w:t>.(</w:t>
      </w:r>
      <w:proofErr w:type="gramEnd"/>
      <w:r>
        <w:t>5) does not require derivative operation and the calculation of magnetic energy</w:t>
      </w:r>
      <w:r>
        <w:rPr>
          <w:rFonts w:hint="eastAsia"/>
        </w:rPr>
        <w:t>,</w:t>
      </w:r>
      <w:r>
        <w:t xml:space="preserve"> it is much simpler and more widely used for torque calculation. However, it should be noted that the classical </w:t>
      </w:r>
      <w:r>
        <w:rPr>
          <w:iCs/>
        </w:rPr>
        <w:t>dq</w:t>
      </w:r>
      <w:r>
        <w:t xml:space="preserve">0 model in </w:t>
      </w:r>
      <w:proofErr w:type="spellStart"/>
      <w:r>
        <w:t>Equ</w:t>
      </w:r>
      <w:proofErr w:type="spellEnd"/>
      <w:proofErr w:type="gramStart"/>
      <w:r>
        <w:t>.(</w:t>
      </w:r>
      <w:proofErr w:type="gramEnd"/>
      <w:r>
        <w:t>5) is only able to predict the average torque but not the instantaneous torque.</w:t>
      </w:r>
    </w:p>
    <w:p w:rsidR="00054332" w:rsidRDefault="00054332" w:rsidP="00054332">
      <w:pPr>
        <w:jc w:val="right"/>
      </w:pPr>
      <w:r w:rsidRPr="005311D5">
        <w:rPr>
          <w:position w:val="-14"/>
        </w:rPr>
        <w:object w:dxaOrig="2020" w:dyaOrig="400">
          <v:shape id="_x0000_i1030" type="#_x0000_t75" style="width:100.8pt;height:20.05pt" o:ole="">
            <v:imagedata r:id="rId38" o:title=""/>
          </v:shape>
          <o:OLEObject Type="Embed" ProgID="Equation.DSMT4" ShapeID="_x0000_i1030" DrawAspect="Content" ObjectID="_1650288993" r:id="rId39"/>
        </w:object>
      </w:r>
      <w:r>
        <w:t xml:space="preserve">         </w:t>
      </w:r>
      <w:r>
        <w:rPr>
          <w:rFonts w:hint="eastAsia"/>
        </w:rPr>
        <w:t>（</w:t>
      </w:r>
      <w:r>
        <w:t>5</w:t>
      </w:r>
      <w:r>
        <w:rPr>
          <w:rFonts w:hint="eastAsia"/>
        </w:rPr>
        <w:t>）</w:t>
      </w:r>
    </w:p>
    <w:p w:rsidR="00054332" w:rsidRDefault="00054332" w:rsidP="00054332">
      <w:pPr>
        <w:ind w:firstLineChars="200" w:firstLine="424"/>
      </w:pPr>
      <w:r>
        <w:t xml:space="preserve">Combined with FP technique, there are two possible ways of torque component separation. One is based on the Maxwell stress tensor </w:t>
      </w:r>
      <w:proofErr w:type="gramStart"/>
      <w:r>
        <w:t>method</w:t>
      </w:r>
      <w:r>
        <w:rPr>
          <w:vertAlign w:val="superscript"/>
        </w:rPr>
        <w:t>[</w:t>
      </w:r>
      <w:proofErr w:type="gramEnd"/>
      <w:r>
        <w:rPr>
          <w:vertAlign w:val="superscript"/>
        </w:rPr>
        <w:t>34,35]</w:t>
      </w:r>
      <w:r>
        <w:t xml:space="preserve"> and the other one is based on the virtual work principle</w:t>
      </w:r>
      <w:r>
        <w:rPr>
          <w:vertAlign w:val="superscript"/>
        </w:rPr>
        <w:t>[13</w:t>
      </w:r>
      <w:r>
        <w:rPr>
          <w:rFonts w:hint="eastAsia"/>
          <w:vertAlign w:val="superscript"/>
        </w:rPr>
        <w:t>,</w:t>
      </w:r>
      <w:r>
        <w:rPr>
          <w:vertAlign w:val="superscript"/>
        </w:rPr>
        <w:t>33]</w:t>
      </w:r>
      <w:r>
        <w:t>. However, it is found in Ref</w:t>
      </w:r>
      <w:proofErr w:type="gramStart"/>
      <w:r>
        <w:t>.[</w:t>
      </w:r>
      <w:proofErr w:type="gramEnd"/>
      <w:r>
        <w:t>33] that due to the influence of equivalent rotational magnetic saliency in the stator, a part of PM torque will be improperly attributed to the reluctance torque when the Maxwell stress tensor method is used together with the FP technique. This is eliminated by using the virtual work principle. Therefore</w:t>
      </w:r>
      <w:r>
        <w:rPr>
          <w:rFonts w:hint="eastAsia"/>
        </w:rPr>
        <w:t>,</w:t>
      </w:r>
      <w:r>
        <w:t xml:space="preserve"> the on-load torque components separation should be based on the combination of virtual work principle and FP technique. Thus</w:t>
      </w:r>
      <w:r>
        <w:rPr>
          <w:rFonts w:hint="eastAsia"/>
        </w:rPr>
        <w:t>,</w:t>
      </w:r>
      <w:r>
        <w:t xml:space="preserve"> the average torque com</w:t>
      </w:r>
      <w:r>
        <w:rPr>
          <w:rFonts w:hint="eastAsia"/>
        </w:rPr>
        <w:t xml:space="preserve">- </w:t>
      </w:r>
      <w:proofErr w:type="spellStart"/>
      <w:r>
        <w:t>ponents</w:t>
      </w:r>
      <w:proofErr w:type="spellEnd"/>
      <w:r>
        <w:t xml:space="preserve"> can be separated based on the flux linkage components obtained by the FP technique as </w:t>
      </w:r>
    </w:p>
    <w:p w:rsidR="00054332" w:rsidRDefault="00054332" w:rsidP="00C6215D">
      <w:pPr>
        <w:spacing w:beforeLines="53" w:afterLines="20"/>
        <w:jc w:val="right"/>
      </w:pPr>
      <w:r w:rsidRPr="005311D5">
        <w:rPr>
          <w:position w:val="-10"/>
        </w:rPr>
        <w:object w:dxaOrig="1760" w:dyaOrig="300">
          <v:shape id="_x0000_i1031" type="#_x0000_t75" style="width:87.65pt;height:15.05pt" o:ole="">
            <v:imagedata r:id="rId40" o:title=""/>
          </v:shape>
          <o:OLEObject Type="Embed" ProgID="Equation.DSMT4" ShapeID="_x0000_i1031" DrawAspect="Content" ObjectID="_1650288994" r:id="rId41"/>
        </w:object>
      </w:r>
      <w:r>
        <w:t xml:space="preserve">         </w:t>
      </w:r>
      <w:r>
        <w:rPr>
          <w:rFonts w:hint="eastAsia"/>
        </w:rPr>
        <w:t>（</w:t>
      </w:r>
      <w:r>
        <w:t>6</w:t>
      </w:r>
      <w:r>
        <w:rPr>
          <w:rFonts w:hint="eastAsia"/>
        </w:rPr>
        <w:t>）</w:t>
      </w:r>
    </w:p>
    <w:p w:rsidR="00054332" w:rsidRDefault="00054332" w:rsidP="00C6215D">
      <w:pPr>
        <w:snapToGrid w:val="0"/>
        <w:spacing w:beforeLines="50"/>
        <w:jc w:val="right"/>
      </w:pPr>
      <w:r w:rsidRPr="005311D5">
        <w:rPr>
          <w:position w:val="-14"/>
        </w:rPr>
        <w:object w:dxaOrig="1920" w:dyaOrig="340">
          <v:shape id="_x0000_i1032" type="#_x0000_t75" style="width:96.4pt;height:16.9pt" o:ole="">
            <v:imagedata r:id="rId42" o:title=""/>
          </v:shape>
          <o:OLEObject Type="Embed" ProgID="Equation.DSMT4" ShapeID="_x0000_i1032" DrawAspect="Content" ObjectID="_1650288995" r:id="rId43"/>
        </w:object>
      </w:r>
      <w:r>
        <w:t xml:space="preserve">        </w:t>
      </w:r>
      <w:r>
        <w:rPr>
          <w:rFonts w:hint="eastAsia"/>
        </w:rPr>
        <w:t>（</w:t>
      </w:r>
      <w:r>
        <w:t>7</w:t>
      </w:r>
      <w:r>
        <w:rPr>
          <w:rFonts w:hint="eastAsia"/>
        </w:rPr>
        <w:t>）</w:t>
      </w:r>
    </w:p>
    <w:p w:rsidR="00054332" w:rsidRDefault="00054332" w:rsidP="00054332">
      <w:pPr>
        <w:jc w:val="right"/>
      </w:pPr>
      <w:r w:rsidRPr="005311D5">
        <w:rPr>
          <w:position w:val="-14"/>
        </w:rPr>
        <w:object w:dxaOrig="2060" w:dyaOrig="340">
          <v:shape id="_x0000_i1033" type="#_x0000_t75" style="width:103.3pt;height:16.9pt" o:ole="">
            <v:imagedata r:id="rId44" o:title=""/>
          </v:shape>
          <o:OLEObject Type="Embed" ProgID="Equation.DSMT4" ShapeID="_x0000_i1033" DrawAspect="Content" ObjectID="_1650288996" r:id="rId45"/>
        </w:object>
      </w:r>
      <w:r>
        <w:t xml:space="preserve">        </w:t>
      </w:r>
      <w:r>
        <w:rPr>
          <w:rFonts w:hint="eastAsia"/>
        </w:rPr>
        <w:t>（</w:t>
      </w:r>
      <w:r>
        <w:t>8</w:t>
      </w:r>
      <w:r>
        <w:rPr>
          <w:rFonts w:hint="eastAsia"/>
        </w:rPr>
        <w:t>）</w:t>
      </w:r>
    </w:p>
    <w:p w:rsidR="00054332" w:rsidRDefault="00054332" w:rsidP="00C6215D">
      <w:pPr>
        <w:spacing w:afterLines="15"/>
        <w:jc w:val="right"/>
      </w:pPr>
      <w:r w:rsidRPr="005311D5">
        <w:rPr>
          <w:position w:val="-10"/>
        </w:rPr>
        <w:object w:dxaOrig="1579" w:dyaOrig="300">
          <v:shape id="_x0000_i1034" type="#_x0000_t75" style="width:78.9pt;height:15.05pt" o:ole="">
            <v:imagedata r:id="rId46" o:title=""/>
          </v:shape>
          <o:OLEObject Type="Embed" ProgID="Equation.DSMT4" ShapeID="_x0000_i1034" DrawAspect="Content" ObjectID="_1650288997" r:id="rId47"/>
        </w:object>
      </w:r>
      <w:r>
        <w:t xml:space="preserve">         </w:t>
      </w:r>
      <w:r>
        <w:rPr>
          <w:rFonts w:hint="eastAsia"/>
        </w:rPr>
        <w:t>（</w:t>
      </w:r>
      <w:r>
        <w:t>9</w:t>
      </w:r>
      <w:r>
        <w:rPr>
          <w:rFonts w:hint="eastAsia"/>
        </w:rPr>
        <w:t>）</w:t>
      </w:r>
    </w:p>
    <w:p w:rsidR="00054332" w:rsidRDefault="00054332" w:rsidP="00054332">
      <w:pPr>
        <w:jc w:val="right"/>
      </w:pPr>
      <w:r w:rsidRPr="005311D5">
        <w:rPr>
          <w:position w:val="-14"/>
        </w:rPr>
        <w:object w:dxaOrig="2320" w:dyaOrig="340">
          <v:shape id="_x0000_i1035" type="#_x0000_t75" style="width:115.85pt;height:16.9pt" o:ole="">
            <v:imagedata r:id="rId48" o:title=""/>
          </v:shape>
          <o:OLEObject Type="Embed" ProgID="Equation.DSMT4" ShapeID="_x0000_i1035" DrawAspect="Content" ObjectID="_1650288998" r:id="rId49"/>
        </w:object>
      </w:r>
      <w:r>
        <w:t xml:space="preserve">  </w:t>
      </w:r>
      <w:r>
        <w:rPr>
          <w:rFonts w:hint="eastAsia"/>
        </w:rPr>
        <w:t xml:space="preserve"> </w:t>
      </w:r>
      <w:r>
        <w:t xml:space="preserve">   </w:t>
      </w:r>
      <w:r>
        <w:rPr>
          <w:rFonts w:hint="eastAsia"/>
        </w:rPr>
        <w:t>（</w:t>
      </w:r>
      <w:r>
        <w:t>10</w:t>
      </w:r>
      <w:r>
        <w:rPr>
          <w:rFonts w:hint="eastAsia"/>
        </w:rPr>
        <w:t>）</w:t>
      </w:r>
    </w:p>
    <w:p w:rsidR="00054332" w:rsidRDefault="00054332" w:rsidP="00C6215D">
      <w:pPr>
        <w:snapToGrid w:val="0"/>
        <w:spacing w:afterLines="50"/>
        <w:jc w:val="right"/>
      </w:pPr>
      <w:r w:rsidRPr="005311D5">
        <w:rPr>
          <w:position w:val="-14"/>
        </w:rPr>
        <w:object w:dxaOrig="2100" w:dyaOrig="380">
          <v:shape id="_x0000_i1036" type="#_x0000_t75" style="width:106.45pt;height:19.4pt" o:ole="">
            <v:imagedata r:id="rId50" o:title=""/>
          </v:shape>
          <o:OLEObject Type="Embed" ProgID="Equation.DSMT4" ShapeID="_x0000_i1036" DrawAspect="Content" ObjectID="_1650288999" r:id="rId51"/>
        </w:object>
      </w:r>
      <w:r>
        <w:t xml:space="preserve">       </w:t>
      </w:r>
      <w:r>
        <w:rPr>
          <w:rFonts w:hint="eastAsia"/>
        </w:rPr>
        <w:t>（</w:t>
      </w:r>
      <w:r>
        <w:t>11</w:t>
      </w:r>
      <w:r>
        <w:rPr>
          <w:rFonts w:hint="eastAsia"/>
        </w:rPr>
        <w:t>）</w:t>
      </w:r>
    </w:p>
    <w:p w:rsidR="00054332" w:rsidRDefault="00054332" w:rsidP="00054332">
      <w:pPr>
        <w:rPr>
          <w:lang w:val="en-GB"/>
        </w:rPr>
      </w:pPr>
      <w:proofErr w:type="gramStart"/>
      <w:r>
        <w:t>where</w:t>
      </w:r>
      <w:proofErr w:type="gramEnd"/>
      <w:r>
        <w:t xml:space="preserve"> </w:t>
      </w:r>
      <w:r>
        <w:rPr>
          <w:i/>
          <w:iCs/>
        </w:rPr>
        <w:t>T</w:t>
      </w:r>
      <w:r>
        <w:rPr>
          <w:iCs/>
          <w:vertAlign w:val="subscript"/>
        </w:rPr>
        <w:t>PM</w:t>
      </w:r>
      <w:r>
        <w:t xml:space="preserve">, </w:t>
      </w:r>
      <w:r>
        <w:rPr>
          <w:i/>
          <w:iCs/>
        </w:rPr>
        <w:t>T</w:t>
      </w:r>
      <w:r>
        <w:rPr>
          <w:iCs/>
          <w:vertAlign w:val="subscript"/>
        </w:rPr>
        <w:t>PM</w:t>
      </w:r>
      <w:r>
        <w:t xml:space="preserve">(d), and </w:t>
      </w:r>
      <w:r>
        <w:rPr>
          <w:i/>
          <w:iCs/>
        </w:rPr>
        <w:t>T</w:t>
      </w:r>
      <w:r>
        <w:rPr>
          <w:vertAlign w:val="subscript"/>
        </w:rPr>
        <w:t>PM</w:t>
      </w:r>
      <w:r>
        <w:t xml:space="preserve">(q) are the PM torque and its components due to </w:t>
      </w:r>
      <w:r>
        <w:rPr>
          <w:rFonts w:ascii="Symbol" w:hAnsi="Symbol"/>
          <w:i/>
          <w:iCs/>
          <w:position w:val="2"/>
        </w:rPr>
        <w:t></w:t>
      </w:r>
      <w:r>
        <w:rPr>
          <w:iCs/>
          <w:vertAlign w:val="subscript"/>
          <w:lang w:val="en-GB"/>
        </w:rPr>
        <w:t>d</w:t>
      </w:r>
      <w:r>
        <w:rPr>
          <w:lang w:val="en-GB"/>
        </w:rPr>
        <w:t xml:space="preserve">(PM) and </w:t>
      </w:r>
      <w:r>
        <w:rPr>
          <w:rFonts w:ascii="Symbol" w:hAnsi="Symbol"/>
          <w:i/>
          <w:iCs/>
          <w:position w:val="2"/>
        </w:rPr>
        <w:t></w:t>
      </w:r>
      <w:r>
        <w:rPr>
          <w:iCs/>
          <w:vertAlign w:val="subscript"/>
          <w:lang w:val="en-GB"/>
        </w:rPr>
        <w:t>q</w:t>
      </w:r>
      <w:r>
        <w:rPr>
          <w:lang w:val="en-GB"/>
        </w:rPr>
        <w:t xml:space="preserve">(PM) </w:t>
      </w:r>
      <w:proofErr w:type="spellStart"/>
      <w:r>
        <w:rPr>
          <w:lang w:val="en-GB"/>
        </w:rPr>
        <w:t>respe</w:t>
      </w:r>
      <w:proofErr w:type="spellEnd"/>
      <w:r>
        <w:rPr>
          <w:rFonts w:hint="eastAsia"/>
          <w:lang w:val="en-GB"/>
        </w:rPr>
        <w:t xml:space="preserve">- </w:t>
      </w:r>
      <w:proofErr w:type="spellStart"/>
      <w:r>
        <w:rPr>
          <w:lang w:val="en-GB"/>
        </w:rPr>
        <w:t>ctively</w:t>
      </w:r>
      <w:proofErr w:type="spellEnd"/>
      <w:r>
        <w:rPr>
          <w:lang w:val="en-GB"/>
        </w:rPr>
        <w:t xml:space="preserve">. </w:t>
      </w:r>
      <w:proofErr w:type="spellStart"/>
      <w:r>
        <w:rPr>
          <w:i/>
          <w:iCs/>
        </w:rPr>
        <w:t>T</w:t>
      </w:r>
      <w:r>
        <w:rPr>
          <w:iCs/>
          <w:vertAlign w:val="subscript"/>
        </w:rPr>
        <w:t>r</w:t>
      </w:r>
      <w:proofErr w:type="spellEnd"/>
      <w:r>
        <w:t xml:space="preserve">, </w:t>
      </w:r>
      <w:proofErr w:type="spellStart"/>
      <w:proofErr w:type="gramStart"/>
      <w:r>
        <w:rPr>
          <w:i/>
          <w:iCs/>
        </w:rPr>
        <w:t>T</w:t>
      </w:r>
      <w:r>
        <w:rPr>
          <w:iCs/>
          <w:vertAlign w:val="subscript"/>
        </w:rPr>
        <w:t>r</w:t>
      </w:r>
      <w:proofErr w:type="spellEnd"/>
      <w:r>
        <w:t>(</w:t>
      </w:r>
      <w:proofErr w:type="gramEnd"/>
      <w:r>
        <w:rPr>
          <w:iCs/>
        </w:rPr>
        <w:t>d-q</w:t>
      </w:r>
      <w:r>
        <w:t xml:space="preserve">), and </w:t>
      </w:r>
      <w:proofErr w:type="spellStart"/>
      <w:r>
        <w:rPr>
          <w:i/>
          <w:iCs/>
        </w:rPr>
        <w:t>T</w:t>
      </w:r>
      <w:r>
        <w:rPr>
          <w:iCs/>
          <w:vertAlign w:val="subscript"/>
        </w:rPr>
        <w:t>r</w:t>
      </w:r>
      <w:proofErr w:type="spellEnd"/>
      <w:r>
        <w:t>(</w:t>
      </w:r>
      <w:proofErr w:type="spellStart"/>
      <w:r>
        <w:rPr>
          <w:iCs/>
        </w:rPr>
        <w:t>dq</w:t>
      </w:r>
      <w:proofErr w:type="spellEnd"/>
      <w:r>
        <w:t xml:space="preserve">) are the reluctance torque and its components due to </w:t>
      </w:r>
      <w:r>
        <w:rPr>
          <w:iCs/>
        </w:rPr>
        <w:t>the self-inductances and mutual inductance</w:t>
      </w:r>
      <w:r>
        <w:rPr>
          <w:lang w:val="en-GB"/>
        </w:rPr>
        <w:t>, respectively.</w:t>
      </w:r>
    </w:p>
    <w:p w:rsidR="00054332" w:rsidRDefault="00054332" w:rsidP="00054332">
      <w:pPr>
        <w:ind w:firstLineChars="200" w:firstLine="424"/>
        <w:rPr>
          <w:bCs/>
          <w:lang w:val="en-GB"/>
        </w:rPr>
      </w:pPr>
      <w:r>
        <w:t xml:space="preserve">As an example, the torque component variation with the current phase advanced angle of the inset PM machine when </w:t>
      </w:r>
      <w:proofErr w:type="spellStart"/>
      <w:proofErr w:type="gramStart"/>
      <w:r>
        <w:rPr>
          <w:bCs/>
          <w:i/>
          <w:lang w:val="en-GB"/>
        </w:rPr>
        <w:t>I</w:t>
      </w:r>
      <w:r>
        <w:rPr>
          <w:bCs/>
          <w:vertAlign w:val="subscript"/>
          <w:lang w:val="en-GB"/>
        </w:rPr>
        <w:t>a</w:t>
      </w:r>
      <w:proofErr w:type="spellEnd"/>
      <w:r>
        <w:rPr>
          <w:bCs/>
          <w:lang w:val="en-GB"/>
        </w:rPr>
        <w:t>=</w:t>
      </w:r>
      <w:proofErr w:type="gramEnd"/>
      <w:r>
        <w:rPr>
          <w:bCs/>
          <w:lang w:val="en-GB"/>
        </w:rPr>
        <w:t xml:space="preserve">4.0A is shown in Fig.9. </w:t>
      </w:r>
    </w:p>
    <w:p w:rsidR="00054332" w:rsidRDefault="00054332" w:rsidP="00054332">
      <w:pPr>
        <w:ind w:firstLineChars="200" w:firstLine="424"/>
        <w:jc w:val="distribute"/>
      </w:pPr>
      <w:r>
        <w:lastRenderedPageBreak/>
        <w:t xml:space="preserve">The average torque separation method suggested </w:t>
      </w:r>
    </w:p>
    <w:p w:rsidR="00054332" w:rsidRDefault="00054332" w:rsidP="00054332">
      <w:pPr>
        <w:jc w:val="center"/>
        <w:rPr>
          <w:sz w:val="15"/>
          <w:szCs w:val="18"/>
        </w:rPr>
      </w:pPr>
      <w:r>
        <w:rPr>
          <w:noProof/>
          <w:sz w:val="15"/>
        </w:rPr>
        <w:drawing>
          <wp:inline distT="0" distB="0" distL="0" distR="0">
            <wp:extent cx="2711450" cy="1733550"/>
            <wp:effectExtent l="19050" t="0" r="0" b="0"/>
            <wp:docPr id="31" name="图片 31" descr="出片图片\1000\10000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出片图片\1000\100009a.tif"/>
                    <pic:cNvPicPr>
                      <a:picLocks noChangeAspect="1" noChangeArrowheads="1"/>
                    </pic:cNvPicPr>
                  </pic:nvPicPr>
                  <pic:blipFill>
                    <a:blip r:embed="rId52" cstate="print">
                      <a:grayscl/>
                    </a:blip>
                    <a:srcRect/>
                    <a:stretch>
                      <a:fillRect/>
                    </a:stretch>
                  </pic:blipFill>
                  <pic:spPr bwMode="auto">
                    <a:xfrm>
                      <a:off x="0" y="0"/>
                      <a:ext cx="2711450" cy="173355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w:t>
      </w:r>
      <w:r>
        <w:rPr>
          <w:sz w:val="15"/>
          <w:lang w:val="en-GB"/>
        </w:rPr>
        <w:t>Main torque components</w:t>
      </w:r>
    </w:p>
    <w:p w:rsidR="00054332" w:rsidRDefault="00054332" w:rsidP="00054332">
      <w:pPr>
        <w:jc w:val="center"/>
        <w:rPr>
          <w:sz w:val="15"/>
          <w:szCs w:val="18"/>
        </w:rPr>
      </w:pPr>
      <w:r>
        <w:rPr>
          <w:noProof/>
          <w:sz w:val="15"/>
        </w:rPr>
        <w:drawing>
          <wp:inline distT="0" distB="0" distL="0" distR="0">
            <wp:extent cx="2711450" cy="1797050"/>
            <wp:effectExtent l="19050" t="0" r="0" b="0"/>
            <wp:docPr id="32" name="图片 32" descr="图片\1000\10000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1000\100009b.tif"/>
                    <pic:cNvPicPr>
                      <a:picLocks noChangeAspect="1" noChangeArrowheads="1"/>
                    </pic:cNvPicPr>
                  </pic:nvPicPr>
                  <pic:blipFill>
                    <a:blip r:embed="rId53" cstate="print">
                      <a:grayscl/>
                    </a:blip>
                    <a:srcRect/>
                    <a:stretch>
                      <a:fillRect/>
                    </a:stretch>
                  </pic:blipFill>
                  <pic:spPr bwMode="auto">
                    <a:xfrm>
                      <a:off x="0" y="0"/>
                      <a:ext cx="2711450" cy="179705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Torque components due to cross-coupling</w:t>
      </w:r>
    </w:p>
    <w:p w:rsidR="00054332" w:rsidRDefault="00054332" w:rsidP="00054332">
      <w:pPr>
        <w:pStyle w:val="ae"/>
      </w:pPr>
      <w:proofErr w:type="gramStart"/>
      <w:r>
        <w:t xml:space="preserve">Fig.9 </w:t>
      </w:r>
      <w:r>
        <w:rPr>
          <w:rFonts w:hint="eastAsia"/>
        </w:rPr>
        <w:t xml:space="preserve"> </w:t>
      </w:r>
      <w:r>
        <w:t>Torque</w:t>
      </w:r>
      <w:proofErr w:type="gramEnd"/>
      <w:r>
        <w:t xml:space="preserve"> components of inset PM machine </w:t>
      </w:r>
      <w:r>
        <w:rPr>
          <w:rFonts w:hint="eastAsia"/>
        </w:rPr>
        <w:br/>
      </w:r>
      <w:r>
        <w:rPr>
          <w:lang w:val="en-GB"/>
        </w:rPr>
        <w:t xml:space="preserve">when </w:t>
      </w:r>
      <w:proofErr w:type="spellStart"/>
      <w:r>
        <w:rPr>
          <w:i/>
          <w:lang w:val="en-GB"/>
        </w:rPr>
        <w:t>I</w:t>
      </w:r>
      <w:r>
        <w:rPr>
          <w:vertAlign w:val="subscript"/>
          <w:lang w:val="en-GB"/>
        </w:rPr>
        <w:t>a</w:t>
      </w:r>
      <w:proofErr w:type="spellEnd"/>
      <w:r>
        <w:rPr>
          <w:lang w:val="en-GB"/>
        </w:rPr>
        <w:t>=4.0A</w:t>
      </w:r>
      <w:r>
        <w:rPr>
          <w:vertAlign w:val="superscript"/>
          <w:lang w:val="en-GB"/>
        </w:rPr>
        <w:t>[</w:t>
      </w:r>
      <w:r>
        <w:rPr>
          <w:vertAlign w:val="superscript"/>
        </w:rPr>
        <w:t>19]</w:t>
      </w:r>
    </w:p>
    <w:p w:rsidR="00054332" w:rsidRDefault="00054332" w:rsidP="00054332">
      <w:pPr>
        <w:rPr>
          <w:bCs/>
          <w:lang w:val="en-GB"/>
        </w:rPr>
      </w:pPr>
      <w:r>
        <w:t xml:space="preserve">in Ref.[33] is widely accepted and used for various types of PM machines, such as </w:t>
      </w:r>
      <w:r>
        <w:rPr>
          <w:szCs w:val="20"/>
        </w:rPr>
        <w:t>5-phase 20-slot spoke-</w:t>
      </w:r>
      <w:r>
        <w:rPr>
          <w:rFonts w:hint="eastAsia"/>
          <w:szCs w:val="20"/>
        </w:rPr>
        <w:t xml:space="preserve"> </w:t>
      </w:r>
      <w:r>
        <w:rPr>
          <w:szCs w:val="20"/>
        </w:rPr>
        <w:t>type and V-shape fault-tolerant PM machines</w:t>
      </w:r>
      <w:r>
        <w:rPr>
          <w:szCs w:val="20"/>
          <w:vertAlign w:val="superscript"/>
        </w:rPr>
        <w:t>[</w:t>
      </w:r>
      <w:r>
        <w:rPr>
          <w:vertAlign w:val="superscript"/>
        </w:rPr>
        <w:t>25]</w:t>
      </w:r>
      <w:r>
        <w:rPr>
          <w:rFonts w:hint="eastAsia"/>
        </w:rPr>
        <w:t>,</w:t>
      </w:r>
      <w:r>
        <w:rPr>
          <w:szCs w:val="20"/>
        </w:rPr>
        <w:t xml:space="preserve"> 24s/4p SPM machine driven by a 6-step 3-phase BLDC inverter</w:t>
      </w:r>
      <w:r>
        <w:rPr>
          <w:vertAlign w:val="superscript"/>
        </w:rPr>
        <w:t>[36]</w:t>
      </w:r>
      <w:r>
        <w:t>, 6s/4p asymmetric V-shape, surface</w:t>
      </w:r>
    </w:p>
    <w:p w:rsidR="00054332" w:rsidRDefault="00054332" w:rsidP="00054332">
      <w:r>
        <w:t>inset, interior PM (IPM) machines</w:t>
      </w:r>
      <w:r>
        <w:rPr>
          <w:vertAlign w:val="superscript"/>
        </w:rPr>
        <w:t>[37</w:t>
      </w:r>
      <w:r>
        <w:rPr>
          <w:rFonts w:hint="eastAsia"/>
          <w:vertAlign w:val="superscript"/>
        </w:rPr>
        <w:t>-</w:t>
      </w:r>
      <w:r>
        <w:rPr>
          <w:vertAlign w:val="superscript"/>
        </w:rPr>
        <w:t>39]</w:t>
      </w:r>
      <w:r>
        <w:t>, 12s/22p switched flux PM machine</w:t>
      </w:r>
      <w:r>
        <w:rPr>
          <w:vertAlign w:val="superscript"/>
        </w:rPr>
        <w:t>[40]</w:t>
      </w:r>
      <w:r>
        <w:t xml:space="preserve">, 12-slot/10-pole SPM </w:t>
      </w:r>
      <w:r>
        <w:rPr>
          <w:rFonts w:ascii="Times" w:hAnsi="Times"/>
          <w:spacing w:val="2"/>
        </w:rPr>
        <w:t>machine</w:t>
      </w:r>
      <w:r>
        <w:rPr>
          <w:rFonts w:ascii="Times" w:hAnsi="Times"/>
          <w:spacing w:val="2"/>
          <w:vertAlign w:val="superscript"/>
        </w:rPr>
        <w:t>[41]</w:t>
      </w:r>
      <w:r>
        <w:rPr>
          <w:rFonts w:ascii="Times" w:hAnsi="Times"/>
          <w:spacing w:val="2"/>
        </w:rPr>
        <w:t>, modular linear flux reversal PM motors</w:t>
      </w:r>
      <w:r>
        <w:rPr>
          <w:rFonts w:ascii="Times" w:hAnsi="Times"/>
          <w:spacing w:val="2"/>
          <w:vertAlign w:val="superscript"/>
        </w:rPr>
        <w:t>[42]</w:t>
      </w:r>
      <w:r>
        <w:rPr>
          <w:rFonts w:ascii="Times" w:hAnsi="Times"/>
          <w:spacing w:val="2"/>
        </w:rPr>
        <w:t xml:space="preserve">, </w:t>
      </w:r>
      <w:r>
        <w:t xml:space="preserve">and 12s/10p hybrid excited switched flux PM </w:t>
      </w:r>
      <w:r>
        <w:rPr>
          <w:rFonts w:ascii="Times" w:hAnsi="Times"/>
          <w:spacing w:val="2"/>
        </w:rPr>
        <w:t>machines</w:t>
      </w:r>
      <w:r>
        <w:rPr>
          <w:rFonts w:ascii="Times" w:hAnsi="Times"/>
          <w:spacing w:val="2"/>
          <w:vertAlign w:val="superscript"/>
        </w:rPr>
        <w:t>[43]</w:t>
      </w:r>
      <w:r>
        <w:rPr>
          <w:rFonts w:ascii="Times" w:hAnsi="Times"/>
          <w:spacing w:val="2"/>
        </w:rPr>
        <w:t>. Although the torque component separation</w:t>
      </w:r>
      <w:r>
        <w:t xml:space="preserve"> is also based on the flux linkage components, the torque components may be defined differently as shown in Ref</w:t>
      </w:r>
      <w:proofErr w:type="gramStart"/>
      <w:r>
        <w:t>.[</w:t>
      </w:r>
      <w:proofErr w:type="gramEnd"/>
      <w:r>
        <w:t>16, 44</w:t>
      </w:r>
      <w:r>
        <w:rPr>
          <w:rFonts w:hint="eastAsia"/>
        </w:rPr>
        <w:t xml:space="preserve">, </w:t>
      </w:r>
      <w:r>
        <w:t xml:space="preserve">45]. </w:t>
      </w:r>
    </w:p>
    <w:p w:rsidR="00054332" w:rsidRDefault="00054332" w:rsidP="00054332">
      <w:pPr>
        <w:ind w:firstLineChars="200" w:firstLine="424"/>
      </w:pPr>
      <w:r>
        <w:t>Except the above mentioned publications, Ref</w:t>
      </w:r>
      <w:proofErr w:type="gramStart"/>
      <w:r>
        <w:t>.[</w:t>
      </w:r>
      <w:proofErr w:type="gramEnd"/>
      <w:r>
        <w:t>46] suggests another possible way of torque component separation method based on the com</w:t>
      </w:r>
      <w:r>
        <w:rPr>
          <w:rFonts w:hint="eastAsia"/>
        </w:rPr>
        <w:t xml:space="preserve">- </w:t>
      </w:r>
      <w:proofErr w:type="spellStart"/>
      <w:r>
        <w:t>bination</w:t>
      </w:r>
      <w:proofErr w:type="spellEnd"/>
      <w:r>
        <w:t xml:space="preserve"> of the Maxwell stress tensor and the FP technique. Instead of two linear calculations with either PM or all armature currents, six calculations which are all possible combinations of PM, </w:t>
      </w:r>
      <w:r>
        <w:rPr>
          <w:i/>
        </w:rPr>
        <w:t>I</w:t>
      </w:r>
      <w:r>
        <w:rPr>
          <w:iCs/>
          <w:vertAlign w:val="subscript"/>
        </w:rPr>
        <w:t>d</w:t>
      </w:r>
      <w:r>
        <w:t xml:space="preserve"> and </w:t>
      </w:r>
      <w:proofErr w:type="spellStart"/>
      <w:proofErr w:type="gramStart"/>
      <w:r>
        <w:rPr>
          <w:i/>
        </w:rPr>
        <w:t>I</w:t>
      </w:r>
      <w:r>
        <w:rPr>
          <w:iCs/>
          <w:vertAlign w:val="subscript"/>
        </w:rPr>
        <w:t>q</w:t>
      </w:r>
      <w:proofErr w:type="spellEnd"/>
      <w:proofErr w:type="gramEnd"/>
      <w:r>
        <w:rPr>
          <w:rFonts w:hint="eastAsia"/>
        </w:rPr>
        <w:t xml:space="preserve">, </w:t>
      </w:r>
      <w:r>
        <w:lastRenderedPageBreak/>
        <w:t>are carried out based on the on-load permeability. Then</w:t>
      </w:r>
      <w:r>
        <w:rPr>
          <w:rFonts w:hint="eastAsia"/>
        </w:rPr>
        <w:t>,</w:t>
      </w:r>
      <w:r>
        <w:t xml:space="preserve"> six torque components are mathematically calculated from the six torque results of six linear analyses based on the Maxwell stress tensor. However, the improper torque attribution due to the influence of equivalent rotational magnetic saliency in the stator remains.</w:t>
      </w:r>
    </w:p>
    <w:p w:rsidR="00054332" w:rsidRDefault="00054332" w:rsidP="00054332">
      <w:pPr>
        <w:pStyle w:val="3"/>
      </w:pPr>
      <w:proofErr w:type="gramStart"/>
      <w:r>
        <w:rPr>
          <w:rFonts w:hint="eastAsia"/>
          <w:bCs/>
        </w:rPr>
        <w:t>5</w:t>
      </w:r>
      <w:r>
        <w:t xml:space="preserve">  </w:t>
      </w:r>
      <w:r>
        <w:rPr>
          <w:lang w:val="en-GB"/>
        </w:rPr>
        <w:t>On</w:t>
      </w:r>
      <w:proofErr w:type="gramEnd"/>
      <w:r>
        <w:rPr>
          <w:lang w:val="en-GB"/>
        </w:rPr>
        <w:t>-load Cogging Torque Analyses</w:t>
      </w:r>
    </w:p>
    <w:p w:rsidR="00054332" w:rsidRDefault="00054332" w:rsidP="00054332">
      <w:pPr>
        <w:ind w:firstLineChars="200" w:firstLine="424"/>
      </w:pPr>
      <w:r>
        <w:t>For PM machines, cogging torque is another widely investigated topic. The cogging torque is produced by the interaction between the rotor PM and the stator magnetic reluctance variation. It is merely a pulsating torque and has no contribution to the average torque. For the open-circuit cogging torque, it can be calculated either by the Maxwell stress tensor and the virtual work principle as</w:t>
      </w:r>
    </w:p>
    <w:p w:rsidR="00054332" w:rsidRDefault="00054332" w:rsidP="00054332">
      <w:pPr>
        <w:wordWrap w:val="0"/>
        <w:jc w:val="right"/>
        <w:rPr>
          <w:szCs w:val="20"/>
        </w:rPr>
      </w:pPr>
      <w:r w:rsidRPr="005311D5">
        <w:rPr>
          <w:position w:val="-26"/>
        </w:rPr>
        <w:object w:dxaOrig="3620" w:dyaOrig="600">
          <v:shape id="_x0000_i1037" type="#_x0000_t75" style="width:180.95pt;height:30.05pt" o:ole="">
            <v:imagedata r:id="rId54" o:title=""/>
          </v:shape>
          <o:OLEObject Type="Embed" ProgID="Equation.DSMT4" ShapeID="_x0000_i1037" DrawAspect="Content" ObjectID="_1650289000" r:id="rId55"/>
        </w:object>
      </w:r>
      <w:r>
        <w:rPr>
          <w:rFonts w:hint="eastAsia"/>
        </w:rPr>
        <w:t xml:space="preserve"> </w:t>
      </w:r>
      <w:r>
        <w:rPr>
          <w:szCs w:val="20"/>
        </w:rPr>
        <w:t xml:space="preserve"> </w:t>
      </w:r>
      <w:r>
        <w:rPr>
          <w:rFonts w:hint="eastAsia"/>
          <w:szCs w:val="20"/>
        </w:rPr>
        <w:t>（</w:t>
      </w:r>
      <w:r>
        <w:rPr>
          <w:szCs w:val="20"/>
        </w:rPr>
        <w:t>12</w:t>
      </w:r>
      <w:r>
        <w:rPr>
          <w:rFonts w:hint="eastAsia"/>
          <w:szCs w:val="20"/>
        </w:rPr>
        <w:t>）</w:t>
      </w:r>
    </w:p>
    <w:p w:rsidR="00054332" w:rsidRDefault="00054332" w:rsidP="00054332">
      <w:pPr>
        <w:wordWrap w:val="0"/>
        <w:jc w:val="right"/>
      </w:pPr>
      <w:r w:rsidRPr="005311D5">
        <w:rPr>
          <w:position w:val="-30"/>
        </w:rPr>
        <w:object w:dxaOrig="1780" w:dyaOrig="680">
          <v:shape id="_x0000_i1038" type="#_x0000_t75" style="width:88.9pt;height:33.8pt" o:ole="">
            <v:imagedata r:id="rId56" o:title=""/>
          </v:shape>
          <o:OLEObject Type="Embed" ProgID="Equation.DSMT4" ShapeID="_x0000_i1038" DrawAspect="Content" ObjectID="_1650289001" r:id="rId57"/>
        </w:object>
      </w:r>
      <w:r>
        <w:t xml:space="preserve">   </w:t>
      </w:r>
      <w:r>
        <w:rPr>
          <w:rFonts w:hint="eastAsia"/>
        </w:rPr>
        <w:t xml:space="preserve">    </w:t>
      </w:r>
      <w:r>
        <w:t xml:space="preserve">    </w:t>
      </w:r>
      <w:r>
        <w:rPr>
          <w:rFonts w:hint="eastAsia"/>
        </w:rPr>
        <w:t>（</w:t>
      </w:r>
      <w:r>
        <w:t>13</w:t>
      </w:r>
      <w:r>
        <w:rPr>
          <w:rFonts w:hint="eastAsia"/>
        </w:rPr>
        <w:t>）</w:t>
      </w:r>
    </w:p>
    <w:p w:rsidR="00054332" w:rsidRDefault="00054332" w:rsidP="00054332">
      <w:proofErr w:type="gramStart"/>
      <w:r>
        <w:t>where</w:t>
      </w:r>
      <w:proofErr w:type="gramEnd"/>
      <w:r>
        <w:t xml:space="preserve"> </w:t>
      </w:r>
      <w:r>
        <w:rPr>
          <w:rFonts w:ascii="Symbol" w:hAnsi="Symbol"/>
          <w:i/>
          <w:iCs/>
        </w:rPr>
        <w:t></w:t>
      </w:r>
      <w:r>
        <w:rPr>
          <w:rFonts w:hint="eastAsia"/>
          <w:vertAlign w:val="subscript"/>
        </w:rPr>
        <w:t>0</w:t>
      </w:r>
      <w:r>
        <w:t xml:space="preserve"> is the permeability of free air space. </w:t>
      </w:r>
      <w:proofErr w:type="spellStart"/>
      <w:r>
        <w:rPr>
          <w:i/>
        </w:rPr>
        <w:t>L</w:t>
      </w:r>
      <w:r>
        <w:rPr>
          <w:vertAlign w:val="subscript"/>
        </w:rPr>
        <w:t>ef</w:t>
      </w:r>
      <w:proofErr w:type="spellEnd"/>
      <w:r>
        <w:t xml:space="preserve"> is the effective axial length. </w:t>
      </w:r>
      <w:proofErr w:type="gramStart"/>
      <w:r>
        <w:rPr>
          <w:i/>
        </w:rPr>
        <w:t>r</w:t>
      </w:r>
      <w:proofErr w:type="gramEnd"/>
      <w:r>
        <w:t xml:space="preserve"> is the radius of integration path. </w:t>
      </w:r>
      <w:proofErr w:type="spellStart"/>
      <w:proofErr w:type="gramStart"/>
      <w:r>
        <w:rPr>
          <w:i/>
        </w:rPr>
        <w:t>B</w:t>
      </w:r>
      <w:r>
        <w:rPr>
          <w:iCs/>
          <w:vertAlign w:val="subscript"/>
        </w:rPr>
        <w:t>n</w:t>
      </w:r>
      <w:proofErr w:type="spellEnd"/>
      <w:r>
        <w:t>(</w:t>
      </w:r>
      <w:proofErr w:type="gramEnd"/>
      <w:r>
        <w:t xml:space="preserve">open) and </w:t>
      </w:r>
      <w:r>
        <w:rPr>
          <w:i/>
        </w:rPr>
        <w:t>B</w:t>
      </w:r>
      <w:r>
        <w:rPr>
          <w:iCs/>
          <w:vertAlign w:val="subscript"/>
        </w:rPr>
        <w:t>t</w:t>
      </w:r>
      <w:r>
        <w:t xml:space="preserve">(open) are the normal and tangential </w:t>
      </w:r>
      <w:proofErr w:type="spellStart"/>
      <w:r>
        <w:t>airgap</w:t>
      </w:r>
      <w:proofErr w:type="spellEnd"/>
      <w:r>
        <w:t xml:space="preserve"> flux density components on open-circuit, respectively</w:t>
      </w:r>
      <w:r>
        <w:rPr>
          <w:rFonts w:hint="eastAsia"/>
        </w:rPr>
        <w:t>.</w:t>
      </w:r>
    </w:p>
    <w:p w:rsidR="00054332" w:rsidRDefault="00054332" w:rsidP="00054332">
      <w:pPr>
        <w:ind w:firstLineChars="200" w:firstLine="424"/>
      </w:pPr>
      <w:r>
        <w:t xml:space="preserve">For the on-load cogging torque, several calculation methods are suggested by analog with the open-circuit ones in </w:t>
      </w:r>
      <w:proofErr w:type="spellStart"/>
      <w:r>
        <w:t>Equ</w:t>
      </w:r>
      <w:proofErr w:type="spellEnd"/>
      <w:proofErr w:type="gramStart"/>
      <w:r>
        <w:t>.(</w:t>
      </w:r>
      <w:proofErr w:type="gramEnd"/>
      <w:r>
        <w:t xml:space="preserve">12) and </w:t>
      </w:r>
      <w:proofErr w:type="spellStart"/>
      <w:r>
        <w:t>Equ</w:t>
      </w:r>
      <w:proofErr w:type="spellEnd"/>
      <w:r>
        <w:t xml:space="preserve">.(13). By analog with </w:t>
      </w:r>
      <w:proofErr w:type="spellStart"/>
      <w:r>
        <w:t>Equ</w:t>
      </w:r>
      <w:proofErr w:type="spellEnd"/>
      <w:proofErr w:type="gramStart"/>
      <w:r>
        <w:t>.(</w:t>
      </w:r>
      <w:proofErr w:type="gramEnd"/>
      <w:r>
        <w:t>12), the on-load cogging torque in Ref.[22</w:t>
      </w:r>
      <w:r>
        <w:rPr>
          <w:rFonts w:hint="eastAsia"/>
        </w:rPr>
        <w:t xml:space="preserve">, </w:t>
      </w:r>
      <w:r>
        <w:t>34</w:t>
      </w:r>
      <w:r>
        <w:rPr>
          <w:rFonts w:hint="eastAsia"/>
        </w:rPr>
        <w:t>,</w:t>
      </w:r>
      <w:r>
        <w:t xml:space="preserve">35] is computed as </w:t>
      </w:r>
    </w:p>
    <w:p w:rsidR="00054332" w:rsidRDefault="00054332" w:rsidP="00054332">
      <w:pPr>
        <w:wordWrap w:val="0"/>
        <w:jc w:val="right"/>
      </w:pPr>
      <w:r w:rsidRPr="005311D5">
        <w:rPr>
          <w:position w:val="-42"/>
        </w:rPr>
        <w:object w:dxaOrig="4020" w:dyaOrig="940">
          <v:shape id="_x0000_i1039" type="#_x0000_t75" style="width:200.95pt;height:46.95pt" o:ole="">
            <v:imagedata r:id="rId58" o:title=""/>
          </v:shape>
          <o:OLEObject Type="Embed" ProgID="Equation.DSMT4" ShapeID="_x0000_i1039" DrawAspect="Content" ObjectID="_1650289002" r:id="rId59"/>
        </w:object>
      </w:r>
      <w:r>
        <w:rPr>
          <w:rFonts w:ascii="Times" w:hAnsi="Times" w:hint="eastAsia"/>
          <w:position w:val="-18"/>
          <w:lang w:val="en-GB"/>
        </w:rPr>
        <w:t>（</w:t>
      </w:r>
      <w:r>
        <w:rPr>
          <w:rFonts w:ascii="Times" w:hAnsi="Times"/>
          <w:position w:val="-18"/>
        </w:rPr>
        <w:t>14</w:t>
      </w:r>
      <w:r>
        <w:rPr>
          <w:rFonts w:ascii="Times" w:hAnsi="Times" w:hint="eastAsia"/>
          <w:position w:val="-18"/>
          <w:lang w:val="en-GB"/>
        </w:rPr>
        <w:t>）</w:t>
      </w:r>
    </w:p>
    <w:p w:rsidR="00054332" w:rsidRDefault="00054332" w:rsidP="00054332">
      <w:proofErr w:type="gramStart"/>
      <w:r>
        <w:t>where</w:t>
      </w:r>
      <w:proofErr w:type="gramEnd"/>
      <w:r>
        <w:t xml:space="preserve"> </w:t>
      </w:r>
      <w:proofErr w:type="spellStart"/>
      <w:r>
        <w:rPr>
          <w:i/>
        </w:rPr>
        <w:t>T</w:t>
      </w:r>
      <w:r>
        <w:rPr>
          <w:vertAlign w:val="subscript"/>
        </w:rPr>
        <w:t>mw</w:t>
      </w:r>
      <w:proofErr w:type="spellEnd"/>
      <w:r>
        <w:t xml:space="preserve">(FP, </w:t>
      </w:r>
      <w:r>
        <w:rPr>
          <w:iCs/>
        </w:rPr>
        <w:t>PM</w:t>
      </w:r>
      <w:r>
        <w:t xml:space="preserve">) is the calculated torque based on the Maxwell stress tensor with on-load PM field only. </w:t>
      </w:r>
      <w:proofErr w:type="spellStart"/>
      <w:proofErr w:type="gramStart"/>
      <w:r>
        <w:rPr>
          <w:i/>
        </w:rPr>
        <w:t>B</w:t>
      </w:r>
      <w:r>
        <w:rPr>
          <w:iCs/>
          <w:vertAlign w:val="subscript"/>
        </w:rPr>
        <w:t>n</w:t>
      </w:r>
      <w:proofErr w:type="spellEnd"/>
      <w:r>
        <w:t>(</w:t>
      </w:r>
      <w:proofErr w:type="gramEnd"/>
      <w:r>
        <w:t xml:space="preserve">FP, </w:t>
      </w:r>
      <w:r>
        <w:rPr>
          <w:iCs/>
        </w:rPr>
        <w:t>PM</w:t>
      </w:r>
      <w:r>
        <w:t xml:space="preserve">) and </w:t>
      </w:r>
      <w:r>
        <w:rPr>
          <w:i/>
        </w:rPr>
        <w:t>B</w:t>
      </w:r>
      <w:r>
        <w:rPr>
          <w:iCs/>
          <w:vertAlign w:val="subscript"/>
        </w:rPr>
        <w:t>t</w:t>
      </w:r>
      <w:r>
        <w:t xml:space="preserve">(FP, </w:t>
      </w:r>
      <w:r>
        <w:rPr>
          <w:iCs/>
        </w:rPr>
        <w:t>PM</w:t>
      </w:r>
      <w:r>
        <w:t xml:space="preserve">) are the normal and tangential </w:t>
      </w:r>
      <w:proofErr w:type="spellStart"/>
      <w:r>
        <w:t>airgap</w:t>
      </w:r>
      <w:proofErr w:type="spellEnd"/>
      <w:r>
        <w:t xml:space="preserve"> flux density components due to the on-load PM field only.</w:t>
      </w:r>
    </w:p>
    <w:p w:rsidR="00054332" w:rsidRDefault="00054332" w:rsidP="00054332">
      <w:pPr>
        <w:ind w:firstLineChars="200" w:firstLine="424"/>
      </w:pPr>
      <w:r>
        <w:t xml:space="preserve">Being analog with </w:t>
      </w:r>
      <w:proofErr w:type="spellStart"/>
      <w:r>
        <w:t>Equ</w:t>
      </w:r>
      <w:proofErr w:type="spellEnd"/>
      <w:proofErr w:type="gramStart"/>
      <w:r>
        <w:rPr>
          <w:rFonts w:hint="eastAsia"/>
        </w:rPr>
        <w:t>.</w:t>
      </w:r>
      <w:r>
        <w:t>(</w:t>
      </w:r>
      <w:proofErr w:type="gramEnd"/>
      <w:r>
        <w:t xml:space="preserve">13), it is mentioned in Ref.[47] that the on-load cogging torque can be calculated as the derivative of the total magnetic </w:t>
      </w:r>
      <w:r>
        <w:lastRenderedPageBreak/>
        <w:t>energy with respect to the rotor position at constant current</w:t>
      </w:r>
    </w:p>
    <w:p w:rsidR="00054332" w:rsidRDefault="00054332" w:rsidP="00054332">
      <w:pPr>
        <w:jc w:val="right"/>
      </w:pPr>
      <w:r w:rsidRPr="005311D5">
        <w:rPr>
          <w:position w:val="-30"/>
        </w:rPr>
        <w:object w:dxaOrig="2120" w:dyaOrig="680">
          <v:shape id="_x0000_i1040" type="#_x0000_t75" style="width:105.8pt;height:33.8pt" o:ole="">
            <v:imagedata r:id="rId60" o:title=""/>
          </v:shape>
          <o:OLEObject Type="Embed" ProgID="Equation.DSMT4" ShapeID="_x0000_i1040" DrawAspect="Content" ObjectID="_1650289003" r:id="rId61"/>
        </w:object>
      </w:r>
      <w:r>
        <w:t xml:space="preserve">       </w:t>
      </w:r>
      <w:r>
        <w:rPr>
          <w:rFonts w:hint="eastAsia"/>
        </w:rPr>
        <w:t>（</w:t>
      </w:r>
      <w:r>
        <w:t>15</w:t>
      </w:r>
      <w:r>
        <w:rPr>
          <w:rFonts w:hint="eastAsia"/>
        </w:rPr>
        <w:t>）</w:t>
      </w:r>
    </w:p>
    <w:p w:rsidR="00054332" w:rsidRDefault="00054332" w:rsidP="00054332">
      <w:pPr>
        <w:ind w:firstLineChars="200" w:firstLine="424"/>
      </w:pPr>
      <w:r>
        <w:t>However, it is inappropriate since the total magnetic energy is also contributed by the armature field when the machine is on load</w:t>
      </w:r>
      <w:r>
        <w:rPr>
          <w:rFonts w:hint="eastAsia"/>
        </w:rPr>
        <w:t>.</w:t>
      </w:r>
    </w:p>
    <w:p w:rsidR="00054332" w:rsidRDefault="00054332" w:rsidP="00054332">
      <w:pPr>
        <w:ind w:firstLineChars="200" w:firstLine="424"/>
      </w:pPr>
      <w:r>
        <w:t>In Ref</w:t>
      </w:r>
      <w:proofErr w:type="gramStart"/>
      <w:r>
        <w:t>.[</w:t>
      </w:r>
      <w:proofErr w:type="gramEnd"/>
      <w:r>
        <w:t>34], the on-load cogging torque is calculated in a slightly different way as</w:t>
      </w:r>
    </w:p>
    <w:p w:rsidR="00054332" w:rsidRDefault="00054332" w:rsidP="00054332">
      <w:pPr>
        <w:jc w:val="right"/>
      </w:pPr>
      <w:r w:rsidRPr="005311D5">
        <w:rPr>
          <w:position w:val="-30"/>
        </w:rPr>
        <w:object w:dxaOrig="2220" w:dyaOrig="680">
          <v:shape id="_x0000_i1041" type="#_x0000_t75" style="width:110.8pt;height:33.8pt" o:ole="">
            <v:imagedata r:id="rId62" o:title=""/>
          </v:shape>
          <o:OLEObject Type="Embed" ProgID="Equation.DSMT4" ShapeID="_x0000_i1041" DrawAspect="Content" ObjectID="_1650289004" r:id="rId63"/>
        </w:object>
      </w:r>
      <w:r>
        <w:t xml:space="preserve">      </w:t>
      </w:r>
      <w:r>
        <w:rPr>
          <w:rFonts w:hint="eastAsia"/>
          <w:lang w:val="en-GB"/>
        </w:rPr>
        <w:t>（</w:t>
      </w:r>
      <w:r>
        <w:t>16</w:t>
      </w:r>
      <w:r>
        <w:rPr>
          <w:rFonts w:hint="eastAsia"/>
          <w:lang w:val="en-GB"/>
        </w:rPr>
        <w:t>）</w:t>
      </w:r>
    </w:p>
    <w:p w:rsidR="00054332" w:rsidRDefault="00054332" w:rsidP="00054332">
      <w:proofErr w:type="gramStart"/>
      <w:r>
        <w:t>where</w:t>
      </w:r>
      <w:proofErr w:type="gramEnd"/>
      <w:r>
        <w:t xml:space="preserve"> </w:t>
      </w:r>
      <w:proofErr w:type="spellStart"/>
      <w:r>
        <w:rPr>
          <w:i/>
        </w:rPr>
        <w:t>W</w:t>
      </w:r>
      <w:r>
        <w:rPr>
          <w:vertAlign w:val="subscript"/>
        </w:rPr>
        <w:t>mlc</w:t>
      </w:r>
      <w:proofErr w:type="spellEnd"/>
      <w:r>
        <w:t xml:space="preserve"> is the magnetic energy stored in the system less the magnetic energy stored in the coils and includes components as </w:t>
      </w:r>
      <w:proofErr w:type="spellStart"/>
      <w:r>
        <w:t>airgap</w:t>
      </w:r>
      <w:proofErr w:type="spellEnd"/>
      <w:r>
        <w:t xml:space="preserve">, magnets, rotor and stator steel and any other motor regions, which are not parts of the coils. </w:t>
      </w:r>
    </w:p>
    <w:p w:rsidR="00054332" w:rsidRDefault="00054332" w:rsidP="00054332">
      <w:pPr>
        <w:ind w:firstLineChars="200" w:firstLine="424"/>
      </w:pPr>
      <w:r>
        <w:t>However, without using the FP method, tech</w:t>
      </w:r>
      <w:r>
        <w:rPr>
          <w:rFonts w:hint="eastAsia"/>
        </w:rPr>
        <w:t xml:space="preserve">- </w:t>
      </w:r>
      <w:proofErr w:type="spellStart"/>
      <w:r>
        <w:t>nically</w:t>
      </w:r>
      <w:proofErr w:type="spellEnd"/>
      <w:r>
        <w:t>, it is impossible to separate the magnetic energy due to the armature field, since the on-load PM and armature fields exist in every region and are coupled each other. Hence, it is also inappropriate.</w:t>
      </w:r>
    </w:p>
    <w:p w:rsidR="00054332" w:rsidRDefault="00054332" w:rsidP="00054332">
      <w:pPr>
        <w:ind w:firstLineChars="200" w:firstLine="424"/>
      </w:pPr>
      <w:r>
        <w:t>In Ref</w:t>
      </w:r>
      <w:proofErr w:type="gramStart"/>
      <w:r>
        <w:t>.[</w:t>
      </w:r>
      <w:proofErr w:type="gramEnd"/>
      <w:r>
        <w:t xml:space="preserve">48], an improved FP technique is suggested to calculate the on-load cogging torque based on the on-load PM field magnetic energy derivation using </w:t>
      </w:r>
      <w:proofErr w:type="spellStart"/>
      <w:r>
        <w:t>Equ</w:t>
      </w:r>
      <w:proofErr w:type="spellEnd"/>
      <w:r>
        <w:t>.(17). This method is also used later in Ref</w:t>
      </w:r>
      <w:proofErr w:type="gramStart"/>
      <w:r>
        <w:t>.[</w:t>
      </w:r>
      <w:proofErr w:type="gramEnd"/>
      <w:r>
        <w:t>40].</w:t>
      </w:r>
    </w:p>
    <w:p w:rsidR="00054332" w:rsidRDefault="00054332" w:rsidP="00054332">
      <w:pPr>
        <w:jc w:val="right"/>
      </w:pPr>
      <w:r w:rsidRPr="005311D5">
        <w:rPr>
          <w:position w:val="-30"/>
        </w:rPr>
        <w:object w:dxaOrig="2920" w:dyaOrig="680">
          <v:shape id="_x0000_i1042" type="#_x0000_t75" style="width:145.9pt;height:33.8pt" o:ole="">
            <v:imagedata r:id="rId64" o:title=""/>
          </v:shape>
          <o:OLEObject Type="Embed" ProgID="Equation.DSMT4" ShapeID="_x0000_i1042" DrawAspect="Content" ObjectID="_1650289005" r:id="rId65"/>
        </w:object>
      </w:r>
      <w:r>
        <w:t xml:space="preserve">    </w:t>
      </w:r>
      <w:r>
        <w:rPr>
          <w:rFonts w:hint="eastAsia"/>
          <w:lang w:val="en-GB"/>
        </w:rPr>
        <w:t>（</w:t>
      </w:r>
      <w:r>
        <w:t>17</w:t>
      </w:r>
      <w:r>
        <w:rPr>
          <w:rFonts w:hint="eastAsia"/>
          <w:lang w:val="en-GB"/>
        </w:rPr>
        <w:t>）</w:t>
      </w:r>
    </w:p>
    <w:p w:rsidR="00054332" w:rsidRDefault="00054332" w:rsidP="00054332">
      <w:proofErr w:type="gramStart"/>
      <w:r>
        <w:t>where</w:t>
      </w:r>
      <w:proofErr w:type="gramEnd"/>
      <w:r>
        <w:t xml:space="preserve"> </w:t>
      </w:r>
      <w:r>
        <w:rPr>
          <w:i/>
        </w:rPr>
        <w:t>W</w:t>
      </w:r>
      <w:r>
        <w:rPr>
          <w:vertAlign w:val="subscript"/>
        </w:rPr>
        <w:t>m</w:t>
      </w:r>
      <w:r>
        <w:t>(</w:t>
      </w:r>
      <w:r>
        <w:rPr>
          <w:iCs/>
        </w:rPr>
        <w:t>FP</w:t>
      </w:r>
      <w:r>
        <w:t xml:space="preserve">, </w:t>
      </w:r>
      <w:r>
        <w:rPr>
          <w:iCs/>
        </w:rPr>
        <w:t>PM</w:t>
      </w:r>
      <w:r>
        <w:t>) is the total magnetic energy with on-load PM field only.</w:t>
      </w:r>
    </w:p>
    <w:p w:rsidR="00054332" w:rsidRDefault="00054332" w:rsidP="00054332">
      <w:pPr>
        <w:ind w:firstLineChars="200" w:firstLine="424"/>
        <w:jc w:val="distribute"/>
      </w:pPr>
      <w:r>
        <w:t xml:space="preserve">Fig.10 compares the torque results calculated by </w:t>
      </w:r>
      <w:proofErr w:type="spellStart"/>
      <w:r>
        <w:t>Equ</w:t>
      </w:r>
      <w:proofErr w:type="spellEnd"/>
      <w:proofErr w:type="gramStart"/>
      <w:r>
        <w:t>.(</w:t>
      </w:r>
      <w:proofErr w:type="gramEnd"/>
      <w:r>
        <w:t xml:space="preserve">14) and </w:t>
      </w:r>
      <w:proofErr w:type="spellStart"/>
      <w:r>
        <w:t>Equ</w:t>
      </w:r>
      <w:proofErr w:type="spellEnd"/>
      <w:r>
        <w:t>.(17) of the inset PM machine listed</w:t>
      </w:r>
    </w:p>
    <w:p w:rsidR="00054332" w:rsidRDefault="00054332" w:rsidP="00054332">
      <w:pPr>
        <w:jc w:val="center"/>
        <w:rPr>
          <w:sz w:val="15"/>
          <w:szCs w:val="18"/>
        </w:rPr>
      </w:pPr>
      <w:r>
        <w:rPr>
          <w:noProof/>
          <w:sz w:val="15"/>
        </w:rPr>
        <w:drawing>
          <wp:inline distT="0" distB="0" distL="0" distR="0">
            <wp:extent cx="2727325" cy="1709420"/>
            <wp:effectExtent l="19050" t="0" r="0" b="0"/>
            <wp:docPr id="39" name="图片 39" descr="..\..\..\图片\新建文件夹\1000\1000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新建文件夹\1000\100010a.tif"/>
                    <pic:cNvPicPr>
                      <a:picLocks noChangeAspect="1" noChangeArrowheads="1"/>
                    </pic:cNvPicPr>
                  </pic:nvPicPr>
                  <pic:blipFill>
                    <a:blip r:embed="rId66" cstate="print">
                      <a:grayscl/>
                    </a:blip>
                    <a:srcRect/>
                    <a:stretch>
                      <a:fillRect/>
                    </a:stretch>
                  </pic:blipFill>
                  <pic:spPr bwMode="auto">
                    <a:xfrm>
                      <a:off x="0" y="0"/>
                      <a:ext cx="272732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lastRenderedPageBreak/>
        <w:t xml:space="preserve">(a) By </w:t>
      </w:r>
      <w:proofErr w:type="spellStart"/>
      <w:r>
        <w:rPr>
          <w:rFonts w:hint="eastAsia"/>
          <w:sz w:val="15"/>
        </w:rPr>
        <w:t>Equ</w:t>
      </w:r>
      <w:proofErr w:type="spellEnd"/>
      <w:proofErr w:type="gramStart"/>
      <w:r>
        <w:rPr>
          <w:rFonts w:hint="eastAsia"/>
          <w:sz w:val="15"/>
        </w:rPr>
        <w:t>.</w:t>
      </w:r>
      <w:r>
        <w:rPr>
          <w:sz w:val="15"/>
        </w:rPr>
        <w:t>(</w:t>
      </w:r>
      <w:proofErr w:type="gramEnd"/>
      <w:r>
        <w:rPr>
          <w:sz w:val="15"/>
        </w:rPr>
        <w:t>14) based on Maxwell stress tensor</w:t>
      </w:r>
    </w:p>
    <w:p w:rsidR="00054332" w:rsidRDefault="00054332" w:rsidP="00054332">
      <w:pPr>
        <w:jc w:val="center"/>
        <w:rPr>
          <w:sz w:val="15"/>
          <w:szCs w:val="18"/>
        </w:rPr>
      </w:pPr>
      <w:r>
        <w:rPr>
          <w:noProof/>
          <w:sz w:val="15"/>
        </w:rPr>
        <w:drawing>
          <wp:inline distT="0" distB="0" distL="0" distR="0">
            <wp:extent cx="2727325" cy="1757045"/>
            <wp:effectExtent l="19050" t="0" r="0" b="0"/>
            <wp:docPr id="40" name="图片 40" descr="..\..\..\图片\新建文件夹\1000\1000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新建文件夹\1000\100010b.tif"/>
                    <pic:cNvPicPr>
                      <a:picLocks noChangeAspect="1" noChangeArrowheads="1"/>
                    </pic:cNvPicPr>
                  </pic:nvPicPr>
                  <pic:blipFill>
                    <a:blip r:embed="rId67" cstate="print">
                      <a:grayscl/>
                    </a:blip>
                    <a:srcRect/>
                    <a:stretch>
                      <a:fillRect/>
                    </a:stretch>
                  </pic:blipFill>
                  <pic:spPr bwMode="auto">
                    <a:xfrm>
                      <a:off x="0" y="0"/>
                      <a:ext cx="272732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 xml:space="preserve">By </w:t>
      </w:r>
      <w:proofErr w:type="spellStart"/>
      <w:r>
        <w:rPr>
          <w:rFonts w:hint="eastAsia"/>
          <w:sz w:val="15"/>
          <w:lang w:val="en-GB"/>
        </w:rPr>
        <w:t>Equ</w:t>
      </w:r>
      <w:proofErr w:type="spellEnd"/>
      <w:proofErr w:type="gramStart"/>
      <w:r>
        <w:rPr>
          <w:rFonts w:hint="eastAsia"/>
          <w:sz w:val="15"/>
          <w:lang w:val="en-GB"/>
        </w:rPr>
        <w:t>.</w:t>
      </w:r>
      <w:r>
        <w:rPr>
          <w:sz w:val="15"/>
          <w:lang w:val="en-GB"/>
        </w:rPr>
        <w:t>(</w:t>
      </w:r>
      <w:proofErr w:type="gramEnd"/>
      <w:r>
        <w:rPr>
          <w:sz w:val="15"/>
          <w:lang w:val="en-GB"/>
        </w:rPr>
        <w:t>17) based on magnetic energy derivation</w:t>
      </w:r>
    </w:p>
    <w:p w:rsidR="00054332" w:rsidRDefault="00054332" w:rsidP="00054332">
      <w:pPr>
        <w:pStyle w:val="ae"/>
      </w:pPr>
      <w:proofErr w:type="gramStart"/>
      <w:r>
        <w:t>Fig.10  Torque</w:t>
      </w:r>
      <w:proofErr w:type="gramEnd"/>
      <w:r>
        <w:t xml:space="preserve"> results of inset PM machine with on-load PM field only </w:t>
      </w:r>
      <w:r>
        <w:rPr>
          <w:lang w:val="en-GB"/>
        </w:rPr>
        <w:t xml:space="preserve">when </w:t>
      </w:r>
      <w:proofErr w:type="spellStart"/>
      <w:r>
        <w:rPr>
          <w:i/>
          <w:lang w:val="en-GB"/>
        </w:rPr>
        <w:t>I</w:t>
      </w:r>
      <w:r>
        <w:rPr>
          <w:iCs/>
          <w:vertAlign w:val="subscript"/>
          <w:lang w:val="en-GB"/>
        </w:rPr>
        <w:t>a</w:t>
      </w:r>
      <w:proofErr w:type="spellEnd"/>
      <w:r>
        <w:rPr>
          <w:lang w:val="en-GB"/>
        </w:rPr>
        <w:t>=4.0A</w:t>
      </w:r>
      <w:r>
        <w:rPr>
          <w:vertAlign w:val="superscript"/>
          <w:lang w:val="en-GB"/>
        </w:rPr>
        <w:t>[</w:t>
      </w:r>
      <w:r>
        <w:rPr>
          <w:vertAlign w:val="superscript"/>
        </w:rPr>
        <w:t>19]</w:t>
      </w:r>
    </w:p>
    <w:p w:rsidR="00054332" w:rsidRDefault="00054332" w:rsidP="00054332">
      <w:proofErr w:type="gramStart"/>
      <w:r>
        <w:t>in</w:t>
      </w:r>
      <w:proofErr w:type="gramEnd"/>
      <w:r>
        <w:t xml:space="preserve"> Tab</w:t>
      </w:r>
      <w:r>
        <w:rPr>
          <w:rFonts w:hint="eastAsia"/>
        </w:rPr>
        <w:t>.</w:t>
      </w:r>
      <w:r>
        <w:t xml:space="preserve">1. It shows that </w:t>
      </w:r>
      <w:proofErr w:type="spellStart"/>
      <w:proofErr w:type="gramStart"/>
      <w:r>
        <w:rPr>
          <w:i/>
        </w:rPr>
        <w:t>T</w:t>
      </w:r>
      <w:r>
        <w:rPr>
          <w:vertAlign w:val="subscript"/>
        </w:rPr>
        <w:t>mw</w:t>
      </w:r>
      <w:proofErr w:type="spellEnd"/>
      <w:r>
        <w:t>(</w:t>
      </w:r>
      <w:proofErr w:type="gramEnd"/>
      <w:r>
        <w:t xml:space="preserve">FP,PM) has non-zero average torque and hence cannot be exactly the on-load cogging torque. This is due to the improper torque attribution caused by the equivalent rotating magnetic saliency in the </w:t>
      </w:r>
      <w:proofErr w:type="gramStart"/>
      <w:r>
        <w:t>stator</w:t>
      </w:r>
      <w:r>
        <w:rPr>
          <w:vertAlign w:val="superscript"/>
        </w:rPr>
        <w:t>[</w:t>
      </w:r>
      <w:proofErr w:type="gramEnd"/>
      <w:r>
        <w:rPr>
          <w:vertAlign w:val="superscript"/>
        </w:rPr>
        <w:t>33</w:t>
      </w:r>
      <w:r>
        <w:rPr>
          <w:rFonts w:hint="eastAsia"/>
          <w:vertAlign w:val="superscript"/>
        </w:rPr>
        <w:t>,</w:t>
      </w:r>
      <w:r>
        <w:rPr>
          <w:vertAlign w:val="superscript"/>
        </w:rPr>
        <w:t>48]</w:t>
      </w:r>
      <w:r>
        <w:t xml:space="preserve">. By using </w:t>
      </w:r>
      <w:proofErr w:type="spellStart"/>
      <w:r>
        <w:t>Equ</w:t>
      </w:r>
      <w:proofErr w:type="spellEnd"/>
      <w:proofErr w:type="gramStart"/>
      <w:r>
        <w:t>.(</w:t>
      </w:r>
      <w:proofErr w:type="gramEnd"/>
      <w:r>
        <w:t>17), the improper torque attribution is inherently eliminated while the influence of electric load and magnetic saturation is still fully included. Hence, the on-load cogging torque can still be obtained properly and shown in Fig.10b.</w:t>
      </w:r>
    </w:p>
    <w:p w:rsidR="00054332" w:rsidRDefault="00054332" w:rsidP="00054332">
      <w:pPr>
        <w:pStyle w:val="3"/>
      </w:pPr>
      <w:proofErr w:type="gramStart"/>
      <w:r>
        <w:rPr>
          <w:rFonts w:hint="eastAsia"/>
          <w:bCs/>
        </w:rPr>
        <w:t>6</w:t>
      </w:r>
      <w:r>
        <w:t xml:space="preserve">  </w:t>
      </w:r>
      <w:r>
        <w:rPr>
          <w:lang w:val="en-GB"/>
        </w:rPr>
        <w:t>On</w:t>
      </w:r>
      <w:proofErr w:type="gramEnd"/>
      <w:r>
        <w:rPr>
          <w:lang w:val="en-GB"/>
        </w:rPr>
        <w:t>-load Torque Ripple Analyses</w:t>
      </w:r>
      <w:r>
        <w:t xml:space="preserve"> </w:t>
      </w:r>
    </w:p>
    <w:p w:rsidR="00054332" w:rsidRDefault="00054332" w:rsidP="00054332">
      <w:pPr>
        <w:ind w:firstLineChars="200" w:firstLine="424"/>
      </w:pPr>
      <w:r>
        <w:t>On-load torque ripple is undesirable since it could result in noise and vibration and is harmful to precise rotor position control. In PM machines, the on-load torque ripple is contributed by PM torque ripple, reluctance torque ripple and on-load cogging torque. However, the on-load torque ripple is often investigated as single resultant quantity. With the help of FP technique, it is possible to identify the contribution and variation of each on-load torque ripple component. This would greatly help the machine designs</w:t>
      </w:r>
      <w:r>
        <w:rPr>
          <w:rFonts w:hint="eastAsia"/>
        </w:rPr>
        <w:t>.</w:t>
      </w:r>
    </w:p>
    <w:p w:rsidR="00054332" w:rsidRDefault="00054332" w:rsidP="00054332">
      <w:pPr>
        <w:ind w:firstLineChars="200" w:firstLine="424"/>
      </w:pPr>
      <w:r>
        <w:t>In Ref</w:t>
      </w:r>
      <w:proofErr w:type="gramStart"/>
      <w:r>
        <w:t>.[</w:t>
      </w:r>
      <w:proofErr w:type="gramEnd"/>
      <w:r>
        <w:t>22], the on-load torque ripple of a 12s/10p IPM machine with rotor shaping is further investigated based upon the calculation of the on-load cogging torque, the on-load back EMF and the inductance variation. In Ref</w:t>
      </w:r>
      <w:proofErr w:type="gramStart"/>
      <w:r>
        <w:t>.[</w:t>
      </w:r>
      <w:proofErr w:type="gramEnd"/>
      <w:r>
        <w:t xml:space="preserve">41], all on-load torque ripple components are calculated using FP technique. The design trade-off between the open-circuit cogging torque and the on-load torque ripple is then </w:t>
      </w:r>
      <w:r>
        <w:lastRenderedPageBreak/>
        <w:t>investigated in a 12s/8p SPM machine having different slot openings. In Ref</w:t>
      </w:r>
      <w:proofErr w:type="gramStart"/>
      <w:r>
        <w:t>.[</w:t>
      </w:r>
      <w:proofErr w:type="gramEnd"/>
      <w:r>
        <w:t xml:space="preserve">49], an analytical model is developed to predict the on-load transient torque of IPM machines by including not only the fundamental but also the harmonics of flux linkages. The flux linkage harmonics are segregated by FP technique to further explain the torque ripple variation. By way of example, on-load torque components as well as the variation of torque ripple components with the slot opening in a 12s/8p SPM machine are presented in </w:t>
      </w:r>
      <w:proofErr w:type="gramStart"/>
      <w:r>
        <w:t>Fig.11</w:t>
      </w:r>
      <w:r>
        <w:rPr>
          <w:vertAlign w:val="superscript"/>
        </w:rPr>
        <w:t>[</w:t>
      </w:r>
      <w:proofErr w:type="gramEnd"/>
      <w:r>
        <w:rPr>
          <w:vertAlign w:val="superscript"/>
        </w:rPr>
        <w:t>41]</w:t>
      </w:r>
      <w:r>
        <w:t xml:space="preserve">. </w:t>
      </w:r>
    </w:p>
    <w:p w:rsidR="00054332" w:rsidRDefault="00054332" w:rsidP="00054332">
      <w:pPr>
        <w:jc w:val="center"/>
        <w:rPr>
          <w:sz w:val="15"/>
        </w:rPr>
      </w:pPr>
      <w:r>
        <w:rPr>
          <w:noProof/>
          <w:sz w:val="15"/>
        </w:rPr>
        <w:drawing>
          <wp:inline distT="0" distB="0" distL="0" distR="0">
            <wp:extent cx="2917825" cy="1772920"/>
            <wp:effectExtent l="19050" t="0" r="0" b="0"/>
            <wp:docPr id="41" name="图片 41" descr="..\..\..\图片\新建文件夹\1000\1000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新建文件夹\1000\100011a.tif"/>
                    <pic:cNvPicPr>
                      <a:picLocks noChangeAspect="1" noChangeArrowheads="1"/>
                    </pic:cNvPicPr>
                  </pic:nvPicPr>
                  <pic:blipFill>
                    <a:blip r:embed="rId68" cstate="print">
                      <a:grayscl/>
                    </a:blip>
                    <a:srcRect/>
                    <a:stretch>
                      <a:fillRect/>
                    </a:stretch>
                  </pic:blipFill>
                  <pic:spPr bwMode="auto">
                    <a:xfrm>
                      <a:off x="0" y="0"/>
                      <a:ext cx="2917825" cy="17729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On-load torque components when slot opening is 1mm</w:t>
      </w:r>
    </w:p>
    <w:p w:rsidR="00054332" w:rsidRDefault="00054332" w:rsidP="00054332">
      <w:pPr>
        <w:jc w:val="center"/>
        <w:rPr>
          <w:sz w:val="15"/>
        </w:rPr>
      </w:pPr>
      <w:r>
        <w:rPr>
          <w:noProof/>
          <w:sz w:val="15"/>
        </w:rPr>
        <w:drawing>
          <wp:inline distT="0" distB="0" distL="0" distR="0">
            <wp:extent cx="2917825" cy="1701800"/>
            <wp:effectExtent l="19050" t="0" r="0" b="0"/>
            <wp:docPr id="42" name="图片 42" descr="..\..\..\图片\新建文件夹\1000\1000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新建文件夹\1000\100011b.tif"/>
                    <pic:cNvPicPr>
                      <a:picLocks noChangeAspect="1" noChangeArrowheads="1"/>
                    </pic:cNvPicPr>
                  </pic:nvPicPr>
                  <pic:blipFill>
                    <a:blip r:embed="rId69" cstate="print">
                      <a:grayscl/>
                    </a:blip>
                    <a:srcRect/>
                    <a:stretch>
                      <a:fillRect/>
                    </a:stretch>
                  </pic:blipFill>
                  <pic:spPr bwMode="auto">
                    <a:xfrm>
                      <a:off x="0" y="0"/>
                      <a:ext cx="2917825" cy="170180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Variation of torque ripple components with slot opening</w:t>
      </w:r>
    </w:p>
    <w:p w:rsidR="00054332" w:rsidRDefault="00054332" w:rsidP="00054332">
      <w:pPr>
        <w:pStyle w:val="ae"/>
      </w:pPr>
      <w:r>
        <w:t>Fig.11</w:t>
      </w:r>
      <w:r>
        <w:rPr>
          <w:rFonts w:hint="eastAsia"/>
        </w:rPr>
        <w:t xml:space="preserve"> </w:t>
      </w:r>
      <w:r>
        <w:t xml:space="preserve"> On-load torque components and variations of torque ripple components with slot opening in a 12s/8p SPM machine when </w:t>
      </w:r>
      <w:proofErr w:type="spellStart"/>
      <w:r>
        <w:rPr>
          <w:i/>
          <w:lang w:val="en-GB"/>
        </w:rPr>
        <w:t>I</w:t>
      </w:r>
      <w:r>
        <w:rPr>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rPr>
        <w:t>°</w:t>
      </w:r>
      <w:r>
        <w:rPr>
          <w:vertAlign w:val="superscript"/>
        </w:rPr>
        <w:t>[41]</w:t>
      </w:r>
    </w:p>
    <w:p w:rsidR="00054332" w:rsidRDefault="00054332" w:rsidP="00054332">
      <w:pPr>
        <w:pStyle w:val="3"/>
      </w:pPr>
      <w:proofErr w:type="gramStart"/>
      <w:r>
        <w:rPr>
          <w:rFonts w:hint="eastAsia"/>
          <w:bCs/>
        </w:rPr>
        <w:t>7</w:t>
      </w:r>
      <w:r>
        <w:t xml:space="preserve">  On</w:t>
      </w:r>
      <w:proofErr w:type="gramEnd"/>
      <w:r>
        <w:t>-load Back EMF Analyses</w:t>
      </w:r>
    </w:p>
    <w:p w:rsidR="00054332" w:rsidRDefault="00054332" w:rsidP="00054332">
      <w:pPr>
        <w:ind w:firstLineChars="200" w:firstLine="424"/>
      </w:pPr>
      <w:r>
        <w:t>Back EMF, which is produced by PM, is one of the most important quantities regarding the terminal voltage and output torque</w:t>
      </w:r>
      <w:r>
        <w:rPr>
          <w:rFonts w:hint="eastAsia"/>
        </w:rPr>
        <w:t>,</w:t>
      </w:r>
      <w:r>
        <w:t xml:space="preserve"> both their average value and ripples. Normally, the back EMFs are investigated under the open-circuit condition. Due to the influence of magnetic saturation, the on-load back EMF can be significantly different from the open-circuit EMF. With the help of the FP technique, the on-load back </w:t>
      </w:r>
      <w:r>
        <w:lastRenderedPageBreak/>
        <w:t>EMF can be obtained based on the on-load PM flux linkage variation with the rotor position.</w:t>
      </w:r>
    </w:p>
    <w:p w:rsidR="00054332" w:rsidRDefault="00054332" w:rsidP="00054332">
      <w:pPr>
        <w:ind w:firstLineChars="200" w:firstLine="424"/>
      </w:pPr>
      <w:r>
        <w:t>The relevant investigations on the on-load back EMFs can be found in Ref</w:t>
      </w:r>
      <w:proofErr w:type="gramStart"/>
      <w:r>
        <w:t>.[</w:t>
      </w:r>
      <w:proofErr w:type="gramEnd"/>
      <w:r>
        <w:t>21</w:t>
      </w:r>
      <w:r>
        <w:rPr>
          <w:rFonts w:hint="eastAsia"/>
        </w:rPr>
        <w:t>,</w:t>
      </w:r>
      <w:r>
        <w:t>22] on a 12s/10p IPM machine with rotor shaping,</w:t>
      </w:r>
      <w:r>
        <w:rPr>
          <w:rFonts w:hint="eastAsia"/>
        </w:rPr>
        <w:t xml:space="preserve"> Ref.</w:t>
      </w:r>
      <w:r>
        <w:t>[35] on a 12s/4p SPM machine, Ref.[50] on 24s/4p, 36s/6p, and 48s/8p multi-layer IPM machines as well as Ref.[51] on a 24s/4p</w:t>
      </w:r>
      <w:r>
        <w:rPr>
          <w:szCs w:val="20"/>
        </w:rPr>
        <w:t xml:space="preserve"> SPM machine driven by a 6-step 3-phase BLDC inverter</w:t>
      </w:r>
      <w:r>
        <w:t>. All these investigations show that the on-load back EMFs are influenced by the electrical loading and can be significantly different from the open-circuit back EMFs. By way of example, the open-circuit and on-load back EMFs waveforms in Ref</w:t>
      </w:r>
      <w:proofErr w:type="gramStart"/>
      <w:r>
        <w:t>.[</w:t>
      </w:r>
      <w:proofErr w:type="gramEnd"/>
      <w:r>
        <w:t>21] are presented in Fig.12</w:t>
      </w:r>
      <w:r>
        <w:rPr>
          <w:rFonts w:hint="eastAsia"/>
        </w:rPr>
        <w:t>.</w:t>
      </w:r>
    </w:p>
    <w:p w:rsidR="00054332" w:rsidRDefault="00054332" w:rsidP="00054332">
      <w:pPr>
        <w:jc w:val="center"/>
      </w:pPr>
      <w:r>
        <w:rPr>
          <w:noProof/>
        </w:rPr>
        <w:drawing>
          <wp:inline distT="0" distB="0" distL="0" distR="0">
            <wp:extent cx="2774950" cy="1685925"/>
            <wp:effectExtent l="19050" t="0" r="6350" b="0"/>
            <wp:docPr id="43" name="图片 43" descr="出片图片\1000\10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出片图片\1000\100012.tif"/>
                    <pic:cNvPicPr>
                      <a:picLocks noChangeAspect="1" noChangeArrowheads="1"/>
                    </pic:cNvPicPr>
                  </pic:nvPicPr>
                  <pic:blipFill>
                    <a:blip r:embed="rId70" cstate="print"/>
                    <a:srcRect/>
                    <a:stretch>
                      <a:fillRect/>
                    </a:stretch>
                  </pic:blipFill>
                  <pic:spPr bwMode="auto">
                    <a:xfrm>
                      <a:off x="0" y="0"/>
                      <a:ext cx="2774950" cy="1685925"/>
                    </a:xfrm>
                    <a:prstGeom prst="rect">
                      <a:avLst/>
                    </a:prstGeom>
                    <a:noFill/>
                    <a:ln w="9525">
                      <a:noFill/>
                      <a:miter lim="800000"/>
                      <a:headEnd/>
                      <a:tailEnd/>
                    </a:ln>
                  </pic:spPr>
                </pic:pic>
              </a:graphicData>
            </a:graphic>
          </wp:inline>
        </w:drawing>
      </w:r>
    </w:p>
    <w:p w:rsidR="00054332" w:rsidRDefault="00054332" w:rsidP="00054332">
      <w:pPr>
        <w:pStyle w:val="ae"/>
      </w:pPr>
      <w:proofErr w:type="gramStart"/>
      <w:r>
        <w:t>Fig</w:t>
      </w:r>
      <w:r>
        <w:rPr>
          <w:rFonts w:hint="eastAsia"/>
        </w:rPr>
        <w:t>.</w:t>
      </w:r>
      <w:r>
        <w:t>12</w:t>
      </w:r>
      <w:r>
        <w:rPr>
          <w:rFonts w:hint="eastAsia"/>
        </w:rPr>
        <w:t xml:space="preserve"> </w:t>
      </w:r>
      <w:r>
        <w:t xml:space="preserve"> Open</w:t>
      </w:r>
      <w:proofErr w:type="gramEnd"/>
      <w:r>
        <w:t>-circuit and on-load phase back EMF waveforms of 12s/10p IPM machine in Ref.[21]</w:t>
      </w:r>
    </w:p>
    <w:p w:rsidR="00054332" w:rsidRDefault="00054332" w:rsidP="00054332">
      <w:pPr>
        <w:pStyle w:val="3"/>
      </w:pPr>
      <w:proofErr w:type="gramStart"/>
      <w:r>
        <w:rPr>
          <w:rFonts w:hint="eastAsia"/>
          <w:bCs/>
        </w:rPr>
        <w:t>8</w:t>
      </w:r>
      <w:r>
        <w:t xml:space="preserve">  On</w:t>
      </w:r>
      <w:proofErr w:type="gramEnd"/>
      <w:r>
        <w:t>-load Voltage Waveform Analyses</w:t>
      </w:r>
    </w:p>
    <w:p w:rsidR="00054332" w:rsidRDefault="00054332" w:rsidP="00054332">
      <w:pPr>
        <w:ind w:firstLineChars="200" w:firstLine="424"/>
      </w:pPr>
      <w:proofErr w:type="gramStart"/>
      <w:r>
        <w:t>When the load changes, not only the on-load back EMF but also the on-load voltage are affected.</w:t>
      </w:r>
      <w:proofErr w:type="gramEnd"/>
      <w:r>
        <w:t xml:space="preserve"> More importantly, the on-load voltage waveform may be greatly distorted from sinusoidal even when the open-circuit back EMFs are designed to be sinusoidal, as </w:t>
      </w:r>
      <w:r>
        <w:rPr>
          <w:rFonts w:hint="eastAsia"/>
        </w:rPr>
        <w:t xml:space="preserve">will be </w:t>
      </w:r>
      <w:r>
        <w:t xml:space="preserve">shown </w:t>
      </w:r>
      <w:r>
        <w:rPr>
          <w:rFonts w:hint="eastAsia"/>
        </w:rPr>
        <w:t>later</w:t>
      </w:r>
      <w:r>
        <w:t xml:space="preserve">. This </w:t>
      </w:r>
      <w:proofErr w:type="spellStart"/>
      <w:r>
        <w:t>on</w:t>
      </w:r>
      <w:proofErr w:type="spellEnd"/>
      <w:r>
        <w:t xml:space="preserve">-load voltage distortion is harmful to various </w:t>
      </w:r>
      <w:proofErr w:type="gramStart"/>
      <w:r>
        <w:t>performance</w:t>
      </w:r>
      <w:proofErr w:type="gramEnd"/>
      <w:r>
        <w:t>, especially the torque-</w:t>
      </w:r>
      <w:r>
        <w:rPr>
          <w:rFonts w:hint="eastAsia"/>
        </w:rPr>
        <w:t xml:space="preserve"> </w:t>
      </w:r>
      <w:r>
        <w:t>speed curve. In order to investigate the mechanism of the on-load voltage distortion in various PM machines</w:t>
      </w:r>
      <w:r>
        <w:rPr>
          <w:rFonts w:hint="eastAsia"/>
        </w:rPr>
        <w:t>,</w:t>
      </w:r>
      <w:r>
        <w:t xml:space="preserve"> the FP technique is employed in Ref</w:t>
      </w:r>
      <w:proofErr w:type="gramStart"/>
      <w:r>
        <w:t>.[</w:t>
      </w:r>
      <w:proofErr w:type="gramEnd"/>
      <w:r>
        <w:t>52</w:t>
      </w:r>
      <w:r>
        <w:rPr>
          <w:rFonts w:hint="eastAsia"/>
        </w:rPr>
        <w:t>-</w:t>
      </w:r>
      <w:r>
        <w:t>57]</w:t>
      </w:r>
      <w:r>
        <w:rPr>
          <w:rFonts w:hint="eastAsia"/>
        </w:rPr>
        <w:t>.</w:t>
      </w:r>
      <w:r>
        <w:t xml:space="preserve"> </w:t>
      </w:r>
    </w:p>
    <w:p w:rsidR="00054332" w:rsidRDefault="00054332" w:rsidP="00054332">
      <w:pPr>
        <w:ind w:firstLineChars="200" w:firstLine="424"/>
      </w:pPr>
      <w:r>
        <w:t>The investigation in Ref</w:t>
      </w:r>
      <w:proofErr w:type="gramStart"/>
      <w:r>
        <w:t>.[</w:t>
      </w:r>
      <w:proofErr w:type="gramEnd"/>
      <w:r>
        <w:t xml:space="preserve">53] is focused on a 12s/8p SPM machine </w:t>
      </w:r>
      <w:r>
        <w:rPr>
          <w:rFonts w:hint="eastAsia"/>
        </w:rPr>
        <w:t>with its parameters and cross-section given in Tab.2 and Fig.13.</w:t>
      </w:r>
      <w:r>
        <w:t xml:space="preserve"> </w:t>
      </w:r>
      <w:r>
        <w:rPr>
          <w:rFonts w:hint="eastAsia"/>
        </w:rPr>
        <w:t>T</w:t>
      </w:r>
      <w:r>
        <w:t>he influence of slot/pole number combination in SPM machine is carried out in Ref</w:t>
      </w:r>
      <w:proofErr w:type="gramStart"/>
      <w:r>
        <w:t>.[</w:t>
      </w:r>
      <w:proofErr w:type="gramEnd"/>
      <w:r>
        <w:t xml:space="preserve">54]. The investigation in Ref.[55] is focused on the fractional slot IPM machine while </w:t>
      </w:r>
      <w:r>
        <w:lastRenderedPageBreak/>
        <w:t>the influence of slot/pole number combination in IPM machine is carried out in Ref.[56</w:t>
      </w:r>
      <w:r>
        <w:rPr>
          <w:rFonts w:hint="eastAsia"/>
        </w:rPr>
        <w:t>,</w:t>
      </w:r>
      <w:r>
        <w:t>57] is focused on the comparison of torque-speed curves between 42s/8p and 48s/8p IPM machines considering the on-load voltage distortions.</w:t>
      </w:r>
    </w:p>
    <w:p w:rsidR="00054332" w:rsidRDefault="00054332" w:rsidP="00054332">
      <w:pPr>
        <w:ind w:firstLineChars="200" w:firstLine="424"/>
        <w:jc w:val="distribute"/>
      </w:pPr>
      <w:r>
        <w:t>Fig.14 and Fig.15 show the waveforms of the voltage and flux linkage components of the 12s/8p SPM machine in Ref</w:t>
      </w:r>
      <w:proofErr w:type="gramStart"/>
      <w:r>
        <w:t>.[</w:t>
      </w:r>
      <w:proofErr w:type="gramEnd"/>
      <w:r>
        <w:t>52] as an example. The machine parameters and cross-section are given in Tab</w:t>
      </w:r>
      <w:r>
        <w:rPr>
          <w:rFonts w:hint="eastAsia"/>
        </w:rPr>
        <w:t>.</w:t>
      </w:r>
      <w:r>
        <w:t>2 and Fig</w:t>
      </w:r>
      <w:r>
        <w:rPr>
          <w:rFonts w:hint="eastAsia"/>
        </w:rPr>
        <w:t>.</w:t>
      </w:r>
      <w:r>
        <w:t xml:space="preserve">13. It can be seen from Fig.13 that although the open-circuit back EMF is sinusoidal, the on-load voltage waveform is greatly distorted from sinusoidal and exhibits sharp voltage spikes. Based on the FP technique, it can be seen from Fig.14 that the sharp voltage spikes are results of sudden changes of both the PM and armature flux linkages. The sudden flux </w:t>
      </w:r>
    </w:p>
    <w:p w:rsidR="00054332" w:rsidRDefault="00054332" w:rsidP="00054332">
      <w:pPr>
        <w:spacing w:line="100" w:lineRule="exact"/>
        <w:rPr>
          <w:noProof/>
        </w:rPr>
      </w:pPr>
    </w:p>
    <w:p w:rsidR="00054332" w:rsidRDefault="00054332" w:rsidP="00054332">
      <w:pPr>
        <w:pStyle w:val="a"/>
      </w:pPr>
      <w:r>
        <w:t>Tab.2  Main parameters of</w:t>
      </w:r>
      <w:r>
        <w:rPr>
          <w:lang w:val="en-GB"/>
        </w:rPr>
        <w:t xml:space="preserve"> 12s/8p SPM machine</w:t>
      </w:r>
      <w:r>
        <w:rPr>
          <w:vertAlign w:val="superscript"/>
        </w:rPr>
        <w:t>[52]</w:t>
      </w:r>
    </w:p>
    <w:tbl>
      <w:tblPr>
        <w:tblW w:w="4649" w:type="dxa"/>
        <w:jc w:val="center"/>
        <w:tblBorders>
          <w:top w:val="single" w:sz="8" w:space="0" w:color="auto"/>
          <w:bottom w:val="single" w:sz="8" w:space="0" w:color="auto"/>
        </w:tblBorders>
        <w:tblLook w:val="0000"/>
      </w:tblPr>
      <w:tblGrid>
        <w:gridCol w:w="3036"/>
        <w:gridCol w:w="1613"/>
      </w:tblGrid>
      <w:tr w:rsidR="00054332" w:rsidTr="003351D5">
        <w:trPr>
          <w:trHeight w:val="290"/>
          <w:jc w:val="center"/>
        </w:trPr>
        <w:tc>
          <w:tcPr>
            <w:tcW w:w="3031" w:type="dxa"/>
            <w:tcBorders>
              <w:bottom w:val="single" w:sz="4" w:space="0" w:color="auto"/>
            </w:tcBorders>
            <w:vAlign w:val="center"/>
          </w:tcPr>
          <w:p w:rsidR="00054332" w:rsidRDefault="00054332" w:rsidP="003351D5">
            <w:pPr>
              <w:snapToGrid w:val="0"/>
              <w:jc w:val="center"/>
              <w:rPr>
                <w:sz w:val="15"/>
              </w:rPr>
            </w:pPr>
            <w:r>
              <w:rPr>
                <w:sz w:val="15"/>
              </w:rPr>
              <w:t>Parameters</w:t>
            </w:r>
          </w:p>
        </w:tc>
        <w:tc>
          <w:tcPr>
            <w:tcW w:w="1610" w:type="dxa"/>
            <w:tcBorders>
              <w:bottom w:val="single" w:sz="4" w:space="0" w:color="auto"/>
            </w:tcBorders>
            <w:vAlign w:val="center"/>
          </w:tcPr>
          <w:p w:rsidR="00054332" w:rsidRDefault="00054332" w:rsidP="003351D5">
            <w:pPr>
              <w:snapToGrid w:val="0"/>
              <w:jc w:val="center"/>
              <w:rPr>
                <w:sz w:val="15"/>
              </w:rPr>
            </w:pPr>
            <w:r>
              <w:rPr>
                <w:sz w:val="15"/>
              </w:rPr>
              <w:t>Value</w:t>
            </w:r>
          </w:p>
        </w:tc>
      </w:tr>
      <w:tr w:rsidR="00054332" w:rsidTr="003351D5">
        <w:trPr>
          <w:trHeight w:val="290"/>
          <w:jc w:val="center"/>
        </w:trPr>
        <w:tc>
          <w:tcPr>
            <w:tcW w:w="3031" w:type="dxa"/>
            <w:tcBorders>
              <w:top w:val="single" w:sz="4" w:space="0" w:color="auto"/>
              <w:bottom w:val="nil"/>
            </w:tcBorders>
            <w:vAlign w:val="center"/>
          </w:tcPr>
          <w:p w:rsidR="00054332" w:rsidRDefault="00054332" w:rsidP="003351D5">
            <w:pPr>
              <w:snapToGrid w:val="0"/>
              <w:jc w:val="center"/>
              <w:rPr>
                <w:sz w:val="15"/>
              </w:rPr>
            </w:pPr>
            <w:r>
              <w:rPr>
                <w:sz w:val="15"/>
              </w:rPr>
              <w:t>Stator outer diameter</w:t>
            </w:r>
            <w:r>
              <w:rPr>
                <w:rFonts w:hint="eastAsia"/>
                <w:sz w:val="15"/>
              </w:rPr>
              <w:t>/</w:t>
            </w:r>
            <w:r>
              <w:rPr>
                <w:sz w:val="15"/>
              </w:rPr>
              <w:t>mm</w:t>
            </w:r>
          </w:p>
        </w:tc>
        <w:tc>
          <w:tcPr>
            <w:tcW w:w="1610" w:type="dxa"/>
            <w:tcBorders>
              <w:top w:val="single" w:sz="4" w:space="0" w:color="auto"/>
              <w:bottom w:val="nil"/>
            </w:tcBorders>
            <w:vAlign w:val="center"/>
          </w:tcPr>
          <w:p w:rsidR="00054332" w:rsidRDefault="00054332" w:rsidP="003351D5">
            <w:pPr>
              <w:snapToGrid w:val="0"/>
              <w:jc w:val="center"/>
              <w:rPr>
                <w:sz w:val="15"/>
              </w:rPr>
            </w:pPr>
            <w:r>
              <w:rPr>
                <w:sz w:val="15"/>
              </w:rPr>
              <w:t>100</w:t>
            </w:r>
          </w:p>
        </w:tc>
      </w:tr>
      <w:tr w:rsidR="00054332" w:rsidTr="003351D5">
        <w:trPr>
          <w:trHeight w:val="290"/>
          <w:jc w:val="center"/>
        </w:trPr>
        <w:tc>
          <w:tcPr>
            <w:tcW w:w="3031" w:type="dxa"/>
            <w:tcBorders>
              <w:top w:val="nil"/>
            </w:tcBorders>
            <w:vAlign w:val="center"/>
          </w:tcPr>
          <w:p w:rsidR="00054332" w:rsidRDefault="00054332" w:rsidP="003351D5">
            <w:pPr>
              <w:snapToGrid w:val="0"/>
              <w:jc w:val="center"/>
              <w:rPr>
                <w:sz w:val="15"/>
              </w:rPr>
            </w:pPr>
            <w:r>
              <w:rPr>
                <w:sz w:val="15"/>
              </w:rPr>
              <w:t>Split ratio</w:t>
            </w:r>
          </w:p>
        </w:tc>
        <w:tc>
          <w:tcPr>
            <w:tcW w:w="1610" w:type="dxa"/>
            <w:tcBorders>
              <w:top w:val="nil"/>
            </w:tcBorders>
            <w:vAlign w:val="center"/>
          </w:tcPr>
          <w:p w:rsidR="00054332" w:rsidRDefault="00054332" w:rsidP="003351D5">
            <w:pPr>
              <w:snapToGrid w:val="0"/>
              <w:jc w:val="center"/>
              <w:rPr>
                <w:sz w:val="15"/>
              </w:rPr>
            </w:pPr>
            <w:r>
              <w:rPr>
                <w:sz w:val="15"/>
              </w:rPr>
              <w:t>0.57</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Tooth width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8</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Slot bridge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0.6</w:t>
            </w:r>
          </w:p>
        </w:tc>
      </w:tr>
      <w:tr w:rsidR="00054332" w:rsidTr="003351D5">
        <w:trPr>
          <w:trHeight w:val="291"/>
          <w:jc w:val="center"/>
        </w:trPr>
        <w:tc>
          <w:tcPr>
            <w:tcW w:w="3031" w:type="dxa"/>
            <w:vAlign w:val="center"/>
          </w:tcPr>
          <w:p w:rsidR="00054332" w:rsidRDefault="00054332" w:rsidP="003351D5">
            <w:pPr>
              <w:snapToGrid w:val="0"/>
              <w:jc w:val="center"/>
              <w:rPr>
                <w:sz w:val="15"/>
              </w:rPr>
            </w:pPr>
            <w:r>
              <w:rPr>
                <w:sz w:val="15"/>
              </w:rPr>
              <w:t>Magnet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3.0</w:t>
            </w:r>
          </w:p>
        </w:tc>
      </w:tr>
      <w:tr w:rsidR="00054332" w:rsidTr="003351D5">
        <w:trPr>
          <w:trHeight w:val="290"/>
          <w:jc w:val="center"/>
        </w:trPr>
        <w:tc>
          <w:tcPr>
            <w:tcW w:w="3031" w:type="dxa"/>
            <w:vAlign w:val="center"/>
          </w:tcPr>
          <w:p w:rsidR="00054332" w:rsidRDefault="00054332" w:rsidP="003351D5">
            <w:pPr>
              <w:pStyle w:val="af"/>
              <w:snapToGrid w:val="0"/>
              <w:rPr>
                <w:rFonts w:eastAsia="宋体"/>
                <w:kern w:val="20"/>
                <w:szCs w:val="24"/>
              </w:rPr>
            </w:pPr>
            <w:r>
              <w:t>Rated current</w:t>
            </w:r>
            <w:r>
              <w:rPr>
                <w:rFonts w:hint="eastAsia"/>
              </w:rPr>
              <w:t>/</w:t>
            </w:r>
            <w:r>
              <w:t>A</w:t>
            </w:r>
            <w:r>
              <w:rPr>
                <w:rFonts w:hint="eastAsia"/>
              </w:rPr>
              <w:t>(</w:t>
            </w:r>
            <w:r>
              <w:t>peak</w:t>
            </w:r>
            <w:r>
              <w:rPr>
                <w:rFonts w:hint="eastAsia"/>
              </w:rPr>
              <w:t>)</w:t>
            </w:r>
          </w:p>
        </w:tc>
        <w:tc>
          <w:tcPr>
            <w:tcW w:w="1610" w:type="dxa"/>
            <w:vAlign w:val="center"/>
          </w:tcPr>
          <w:p w:rsidR="00054332" w:rsidRDefault="00054332" w:rsidP="003351D5">
            <w:pPr>
              <w:pStyle w:val="af"/>
              <w:snapToGrid w:val="0"/>
              <w:rPr>
                <w:rFonts w:eastAsia="宋体"/>
                <w:kern w:val="20"/>
                <w:szCs w:val="24"/>
              </w:rPr>
            </w:pPr>
            <w:r>
              <w:rPr>
                <w:rFonts w:eastAsia="宋体"/>
                <w:kern w:val="20"/>
                <w:szCs w:val="24"/>
              </w:rPr>
              <w:t>10</w:t>
            </w:r>
          </w:p>
        </w:tc>
      </w:tr>
      <w:tr w:rsidR="00054332" w:rsidTr="003351D5">
        <w:trPr>
          <w:trHeight w:val="290"/>
          <w:jc w:val="center"/>
        </w:trPr>
        <w:tc>
          <w:tcPr>
            <w:tcW w:w="3031" w:type="dxa"/>
            <w:vAlign w:val="center"/>
          </w:tcPr>
          <w:p w:rsidR="00054332" w:rsidRDefault="00054332" w:rsidP="003351D5">
            <w:pPr>
              <w:pStyle w:val="af"/>
              <w:snapToGrid w:val="0"/>
              <w:rPr>
                <w:rFonts w:eastAsia="宋体"/>
                <w:kern w:val="20"/>
                <w:szCs w:val="24"/>
              </w:rPr>
            </w:pPr>
            <w:r>
              <w:t>Magnet permeability</w:t>
            </w:r>
          </w:p>
        </w:tc>
        <w:tc>
          <w:tcPr>
            <w:tcW w:w="1610" w:type="dxa"/>
            <w:vAlign w:val="center"/>
          </w:tcPr>
          <w:p w:rsidR="00054332" w:rsidRDefault="00054332" w:rsidP="003351D5">
            <w:pPr>
              <w:pStyle w:val="af"/>
              <w:snapToGrid w:val="0"/>
              <w:rPr>
                <w:rFonts w:eastAsia="宋体"/>
                <w:kern w:val="20"/>
                <w:szCs w:val="24"/>
              </w:rPr>
            </w:pPr>
            <w:r>
              <w:rPr>
                <w:rFonts w:eastAsia="宋体"/>
                <w:kern w:val="20"/>
                <w:szCs w:val="24"/>
              </w:rPr>
              <w:t>1.05</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Magnet material</w:t>
            </w:r>
          </w:p>
        </w:tc>
        <w:tc>
          <w:tcPr>
            <w:tcW w:w="1610" w:type="dxa"/>
            <w:vAlign w:val="center"/>
          </w:tcPr>
          <w:p w:rsidR="00054332" w:rsidRDefault="00054332" w:rsidP="003351D5">
            <w:pPr>
              <w:snapToGrid w:val="0"/>
              <w:jc w:val="center"/>
              <w:rPr>
                <w:sz w:val="15"/>
              </w:rPr>
            </w:pPr>
            <w:r>
              <w:rPr>
                <w:sz w:val="15"/>
              </w:rPr>
              <w:t>N35SH</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Axial length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50</w:t>
            </w:r>
          </w:p>
        </w:tc>
      </w:tr>
      <w:tr w:rsidR="00054332" w:rsidTr="003351D5">
        <w:trPr>
          <w:trHeight w:val="290"/>
          <w:jc w:val="center"/>
        </w:trPr>
        <w:tc>
          <w:tcPr>
            <w:tcW w:w="3031" w:type="dxa"/>
            <w:vAlign w:val="center"/>
          </w:tcPr>
          <w:p w:rsidR="00054332" w:rsidRDefault="00054332" w:rsidP="003351D5">
            <w:pPr>
              <w:snapToGrid w:val="0"/>
              <w:jc w:val="center"/>
              <w:rPr>
                <w:sz w:val="15"/>
              </w:rPr>
            </w:pPr>
            <w:proofErr w:type="spellStart"/>
            <w:r>
              <w:rPr>
                <w:sz w:val="15"/>
              </w:rPr>
              <w:t>Airgap</w:t>
            </w:r>
            <w:proofErr w:type="spellEnd"/>
            <w:r>
              <w:rPr>
                <w:sz w:val="15"/>
              </w:rPr>
              <w:t xml:space="preserve"> length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1.0</w:t>
            </w:r>
          </w:p>
        </w:tc>
      </w:tr>
      <w:tr w:rsidR="00054332" w:rsidTr="003351D5">
        <w:trPr>
          <w:trHeight w:val="291"/>
          <w:jc w:val="center"/>
        </w:trPr>
        <w:tc>
          <w:tcPr>
            <w:tcW w:w="3031" w:type="dxa"/>
            <w:vAlign w:val="center"/>
          </w:tcPr>
          <w:p w:rsidR="00054332" w:rsidRDefault="00054332" w:rsidP="003351D5">
            <w:pPr>
              <w:snapToGrid w:val="0"/>
              <w:jc w:val="center"/>
              <w:rPr>
                <w:sz w:val="15"/>
              </w:rPr>
            </w:pPr>
            <w:r>
              <w:rPr>
                <w:sz w:val="15"/>
              </w:rPr>
              <w:t>Back iron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4.2</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Turns per phase</w:t>
            </w:r>
          </w:p>
        </w:tc>
        <w:tc>
          <w:tcPr>
            <w:tcW w:w="1610" w:type="dxa"/>
            <w:vAlign w:val="center"/>
          </w:tcPr>
          <w:p w:rsidR="00054332" w:rsidRDefault="00054332" w:rsidP="003351D5">
            <w:pPr>
              <w:snapToGrid w:val="0"/>
              <w:jc w:val="center"/>
              <w:rPr>
                <w:sz w:val="15"/>
              </w:rPr>
            </w:pPr>
            <w:r>
              <w:rPr>
                <w:sz w:val="15"/>
              </w:rPr>
              <w:t>184</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Pole arc/pitch ratio</w:t>
            </w:r>
          </w:p>
        </w:tc>
        <w:tc>
          <w:tcPr>
            <w:tcW w:w="1610" w:type="dxa"/>
            <w:vAlign w:val="center"/>
          </w:tcPr>
          <w:p w:rsidR="00054332" w:rsidRDefault="00054332" w:rsidP="003351D5">
            <w:pPr>
              <w:snapToGrid w:val="0"/>
              <w:jc w:val="center"/>
              <w:rPr>
                <w:sz w:val="15"/>
              </w:rPr>
            </w:pPr>
            <w:r>
              <w:rPr>
                <w:sz w:val="15"/>
              </w:rPr>
              <w:t>0.86</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Phase resistance</w:t>
            </w:r>
            <w:r>
              <w:rPr>
                <w:rFonts w:hint="eastAsia"/>
                <w:sz w:val="15"/>
              </w:rPr>
              <w:t>/</w:t>
            </w:r>
            <w:r>
              <w:rPr>
                <w:rFonts w:ascii="Symbol" w:hAnsi="Symbol"/>
                <w:sz w:val="15"/>
              </w:rPr>
              <w:t></w:t>
            </w:r>
          </w:p>
        </w:tc>
        <w:tc>
          <w:tcPr>
            <w:tcW w:w="1610" w:type="dxa"/>
            <w:vAlign w:val="center"/>
          </w:tcPr>
          <w:p w:rsidR="00054332" w:rsidRDefault="00054332" w:rsidP="003351D5">
            <w:pPr>
              <w:snapToGrid w:val="0"/>
              <w:jc w:val="center"/>
              <w:rPr>
                <w:sz w:val="15"/>
              </w:rPr>
            </w:pPr>
            <w:r>
              <w:rPr>
                <w:sz w:val="15"/>
              </w:rPr>
              <w:t>0.5</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 xml:space="preserve">Magnet </w:t>
            </w:r>
            <w:proofErr w:type="spellStart"/>
            <w:r>
              <w:rPr>
                <w:sz w:val="15"/>
              </w:rPr>
              <w:t>remanence</w:t>
            </w:r>
            <w:proofErr w:type="spellEnd"/>
          </w:p>
        </w:tc>
        <w:tc>
          <w:tcPr>
            <w:tcW w:w="1610" w:type="dxa"/>
            <w:vAlign w:val="center"/>
          </w:tcPr>
          <w:p w:rsidR="00054332" w:rsidRDefault="00054332" w:rsidP="003351D5">
            <w:pPr>
              <w:snapToGrid w:val="0"/>
              <w:jc w:val="center"/>
              <w:rPr>
                <w:sz w:val="15"/>
              </w:rPr>
            </w:pPr>
            <w:r>
              <w:rPr>
                <w:sz w:val="15"/>
              </w:rPr>
              <w:t>1.2T</w:t>
            </w:r>
          </w:p>
        </w:tc>
      </w:tr>
      <w:tr w:rsidR="00054332" w:rsidTr="003351D5">
        <w:trPr>
          <w:trHeight w:val="291"/>
          <w:jc w:val="center"/>
        </w:trPr>
        <w:tc>
          <w:tcPr>
            <w:tcW w:w="3031" w:type="dxa"/>
            <w:vAlign w:val="center"/>
          </w:tcPr>
          <w:p w:rsidR="00054332" w:rsidRDefault="00054332" w:rsidP="003351D5">
            <w:pPr>
              <w:snapToGrid w:val="0"/>
              <w:jc w:val="center"/>
              <w:rPr>
                <w:sz w:val="15"/>
              </w:rPr>
            </w:pPr>
            <w:r>
              <w:rPr>
                <w:sz w:val="15"/>
              </w:rPr>
              <w:t>Lamination material</w:t>
            </w:r>
          </w:p>
        </w:tc>
        <w:tc>
          <w:tcPr>
            <w:tcW w:w="1610" w:type="dxa"/>
            <w:vAlign w:val="center"/>
          </w:tcPr>
          <w:p w:rsidR="00054332" w:rsidRDefault="00054332" w:rsidP="003351D5">
            <w:pPr>
              <w:snapToGrid w:val="0"/>
              <w:jc w:val="center"/>
              <w:rPr>
                <w:sz w:val="15"/>
              </w:rPr>
            </w:pPr>
            <w:r>
              <w:rPr>
                <w:sz w:val="15"/>
              </w:rPr>
              <w:t>M300</w:t>
            </w:r>
          </w:p>
        </w:tc>
      </w:tr>
    </w:tbl>
    <w:p w:rsidR="00054332" w:rsidRDefault="00054332" w:rsidP="00054332">
      <w:pPr>
        <w:spacing w:line="20" w:lineRule="exact"/>
        <w:rPr>
          <w:noProof/>
        </w:rPr>
      </w:pPr>
    </w:p>
    <w:p w:rsidR="00054332" w:rsidRDefault="00054332" w:rsidP="00C6215D">
      <w:pPr>
        <w:spacing w:beforeLines="30" w:afterLines="30"/>
        <w:jc w:val="center"/>
        <w:rPr>
          <w:sz w:val="18"/>
          <w:szCs w:val="18"/>
        </w:rPr>
      </w:pPr>
      <w:r>
        <w:rPr>
          <w:noProof/>
        </w:rPr>
        <w:drawing>
          <wp:inline distT="0" distB="0" distL="0" distR="0">
            <wp:extent cx="1884680" cy="1884680"/>
            <wp:effectExtent l="19050" t="0" r="1270" b="0"/>
            <wp:docPr id="44" name="图片 44" descr="..\..\..\图片\新建文件夹\1000\10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图片\新建文件夹\1000\100013.tif"/>
                    <pic:cNvPicPr>
                      <a:picLocks noChangeAspect="1" noChangeArrowheads="1"/>
                    </pic:cNvPicPr>
                  </pic:nvPicPr>
                  <pic:blipFill>
                    <a:blip r:embed="rId71" cstate="print"/>
                    <a:srcRect/>
                    <a:stretch>
                      <a:fillRect/>
                    </a:stretch>
                  </pic:blipFill>
                  <pic:spPr bwMode="auto">
                    <a:xfrm>
                      <a:off x="0" y="0"/>
                      <a:ext cx="1884680" cy="1884680"/>
                    </a:xfrm>
                    <a:prstGeom prst="rect">
                      <a:avLst/>
                    </a:prstGeom>
                    <a:noFill/>
                    <a:ln w="9525">
                      <a:noFill/>
                      <a:miter lim="800000"/>
                      <a:headEnd/>
                      <a:tailEnd/>
                    </a:ln>
                  </pic:spPr>
                </pic:pic>
              </a:graphicData>
            </a:graphic>
          </wp:inline>
        </w:drawing>
      </w:r>
    </w:p>
    <w:p w:rsidR="00054332" w:rsidRDefault="00054332" w:rsidP="00054332">
      <w:pPr>
        <w:pStyle w:val="ae"/>
      </w:pPr>
      <w:proofErr w:type="gramStart"/>
      <w:r>
        <w:lastRenderedPageBreak/>
        <w:t>Fig.13</w:t>
      </w:r>
      <w:r>
        <w:rPr>
          <w:rFonts w:hint="eastAsia"/>
        </w:rPr>
        <w:t xml:space="preserve"> </w:t>
      </w:r>
      <w:r>
        <w:t xml:space="preserve"> Cross</w:t>
      </w:r>
      <w:proofErr w:type="gramEnd"/>
      <w:r>
        <w:t>-section of 12s/8p SPM machine in Ref.[52]</w:t>
      </w:r>
    </w:p>
    <w:p w:rsidR="00054332" w:rsidRDefault="00054332" w:rsidP="00054332">
      <w:pPr>
        <w:snapToGrid w:val="0"/>
        <w:jc w:val="center"/>
        <w:rPr>
          <w:sz w:val="18"/>
          <w:szCs w:val="18"/>
        </w:rPr>
      </w:pPr>
      <w:r>
        <w:rPr>
          <w:noProof/>
        </w:rPr>
        <w:drawing>
          <wp:inline distT="0" distB="0" distL="0" distR="0">
            <wp:extent cx="2369185" cy="1503045"/>
            <wp:effectExtent l="19050" t="0" r="0" b="0"/>
            <wp:docPr id="45" name="图片 45" descr="出片图片\1000\10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出片图片\1000\100014.tif"/>
                    <pic:cNvPicPr>
                      <a:picLocks noChangeAspect="1" noChangeArrowheads="1"/>
                    </pic:cNvPicPr>
                  </pic:nvPicPr>
                  <pic:blipFill>
                    <a:blip r:embed="rId72" cstate="print"/>
                    <a:srcRect/>
                    <a:stretch>
                      <a:fillRect/>
                    </a:stretch>
                  </pic:blipFill>
                  <pic:spPr bwMode="auto">
                    <a:xfrm>
                      <a:off x="0" y="0"/>
                      <a:ext cx="2369185" cy="1503045"/>
                    </a:xfrm>
                    <a:prstGeom prst="rect">
                      <a:avLst/>
                    </a:prstGeom>
                    <a:noFill/>
                    <a:ln w="9525">
                      <a:noFill/>
                      <a:miter lim="800000"/>
                      <a:headEnd/>
                      <a:tailEnd/>
                    </a:ln>
                  </pic:spPr>
                </pic:pic>
              </a:graphicData>
            </a:graphic>
          </wp:inline>
        </w:drawing>
      </w:r>
    </w:p>
    <w:p w:rsidR="00054332" w:rsidRDefault="00054332" w:rsidP="00054332">
      <w:pPr>
        <w:pStyle w:val="ae"/>
      </w:pPr>
      <w:r>
        <w:t>Fig</w:t>
      </w:r>
      <w:r>
        <w:rPr>
          <w:rFonts w:hint="eastAsia"/>
        </w:rPr>
        <w:t>.</w:t>
      </w:r>
      <w:r>
        <w:t xml:space="preserve">14 </w:t>
      </w:r>
      <w:r>
        <w:rPr>
          <w:rFonts w:hint="eastAsia"/>
        </w:rPr>
        <w:t xml:space="preserve"> </w:t>
      </w:r>
      <w:r>
        <w:t>Open-circuit phase back EMF and on-load (</w:t>
      </w:r>
      <w:proofErr w:type="spellStart"/>
      <w:r>
        <w:rPr>
          <w:i/>
          <w:lang w:val="en-GB"/>
        </w:rPr>
        <w:t>I</w:t>
      </w:r>
      <w:r>
        <w:rPr>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sz w:val="20"/>
          <w:lang w:val="en-GB"/>
        </w:rPr>
        <w:t>°</w:t>
      </w:r>
      <w:r>
        <w:t xml:space="preserve">) terminal voltage waveforms of 12s/8p </w:t>
      </w:r>
      <w:r>
        <w:rPr>
          <w:rFonts w:hint="eastAsia"/>
        </w:rPr>
        <w:br/>
      </w:r>
      <w:r>
        <w:t>SPM machine</w:t>
      </w:r>
      <w:r>
        <w:rPr>
          <w:vertAlign w:val="superscript"/>
        </w:rPr>
        <w:t>[52]</w:t>
      </w:r>
    </w:p>
    <w:p w:rsidR="00054332" w:rsidRDefault="00054332" w:rsidP="00054332">
      <w:pPr>
        <w:pStyle w:val="af"/>
        <w:snapToGrid w:val="0"/>
        <w:rPr>
          <w:rFonts w:eastAsia="宋体"/>
          <w:noProof/>
          <w:kern w:val="20"/>
          <w:szCs w:val="24"/>
        </w:rPr>
      </w:pPr>
      <w:r>
        <w:rPr>
          <w:rFonts w:eastAsia="宋体"/>
          <w:noProof/>
          <w:kern w:val="20"/>
          <w:szCs w:val="24"/>
        </w:rPr>
        <w:drawing>
          <wp:inline distT="0" distB="0" distL="0" distR="0">
            <wp:extent cx="2440940" cy="1605915"/>
            <wp:effectExtent l="19050" t="0" r="0" b="0"/>
            <wp:docPr id="46" name="图片 46" descr="..\..\..\图片\新建文件夹\1000\10001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新建文件夹\1000\100015a.tif"/>
                    <pic:cNvPicPr>
                      <a:picLocks noChangeAspect="1" noChangeArrowheads="1"/>
                    </pic:cNvPicPr>
                  </pic:nvPicPr>
                  <pic:blipFill>
                    <a:blip r:embed="rId73" cstate="print"/>
                    <a:srcRect/>
                    <a:stretch>
                      <a:fillRect/>
                    </a:stretch>
                  </pic:blipFill>
                  <pic:spPr bwMode="auto">
                    <a:xfrm>
                      <a:off x="0" y="0"/>
                      <a:ext cx="2440940" cy="160591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Flux linkages</w:t>
      </w:r>
    </w:p>
    <w:p w:rsidR="00054332" w:rsidRDefault="00054332" w:rsidP="00054332">
      <w:pPr>
        <w:jc w:val="center"/>
        <w:rPr>
          <w:sz w:val="15"/>
          <w:szCs w:val="18"/>
        </w:rPr>
      </w:pPr>
      <w:r>
        <w:rPr>
          <w:noProof/>
          <w:sz w:val="15"/>
        </w:rPr>
        <w:drawing>
          <wp:inline distT="0" distB="0" distL="0" distR="0">
            <wp:extent cx="2440940" cy="1685925"/>
            <wp:effectExtent l="19050" t="0" r="0" b="0"/>
            <wp:docPr id="47" name="图片 47" descr="..\..\..\图片\新建文件夹\1000\10001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新建文件夹\1000\100015b.tif"/>
                    <pic:cNvPicPr>
                      <a:picLocks noChangeAspect="1" noChangeArrowheads="1"/>
                    </pic:cNvPicPr>
                  </pic:nvPicPr>
                  <pic:blipFill>
                    <a:blip r:embed="rId74" cstate="print"/>
                    <a:srcRect/>
                    <a:stretch>
                      <a:fillRect/>
                    </a:stretch>
                  </pic:blipFill>
                  <pic:spPr bwMode="auto">
                    <a:xfrm>
                      <a:off x="0" y="0"/>
                      <a:ext cx="2440940" cy="1685925"/>
                    </a:xfrm>
                    <a:prstGeom prst="rect">
                      <a:avLst/>
                    </a:prstGeom>
                    <a:noFill/>
                    <a:ln w="9525">
                      <a:noFill/>
                      <a:miter lim="800000"/>
                      <a:headEnd/>
                      <a:tailEnd/>
                    </a:ln>
                  </pic:spPr>
                </pic:pic>
              </a:graphicData>
            </a:graphic>
          </wp:inline>
        </w:drawing>
      </w:r>
    </w:p>
    <w:p w:rsidR="00054332" w:rsidRDefault="00054332" w:rsidP="00054332">
      <w:pPr>
        <w:jc w:val="center"/>
      </w:pPr>
      <w:r>
        <w:rPr>
          <w:sz w:val="15"/>
        </w:rPr>
        <w:t xml:space="preserve">(b) </w:t>
      </w:r>
      <w:r>
        <w:rPr>
          <w:sz w:val="15"/>
          <w:lang w:val="en-GB"/>
        </w:rPr>
        <w:t>Voltages</w:t>
      </w:r>
    </w:p>
    <w:p w:rsidR="00054332" w:rsidRDefault="00054332" w:rsidP="00054332">
      <w:pPr>
        <w:pStyle w:val="ae"/>
      </w:pPr>
      <w:r>
        <w:t xml:space="preserve">Fig.15  Flux linkage and voltage components of 12s/8p SPM machine when </w:t>
      </w:r>
      <w:proofErr w:type="spellStart"/>
      <w:r>
        <w:rPr>
          <w:i/>
          <w:lang w:val="en-GB"/>
        </w:rPr>
        <w:t>I</w:t>
      </w:r>
      <w:r>
        <w:rPr>
          <w:iCs/>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lang w:val="en-GB"/>
        </w:rPr>
        <w:t>°</w:t>
      </w:r>
      <w:r>
        <w:rPr>
          <w:vertAlign w:val="superscript"/>
        </w:rPr>
        <w:t>[52]</w:t>
      </w:r>
    </w:p>
    <w:p w:rsidR="00054332" w:rsidRDefault="00054332" w:rsidP="00054332">
      <w:proofErr w:type="gramStart"/>
      <w:r>
        <w:t>linkage</w:t>
      </w:r>
      <w:proofErr w:type="gramEnd"/>
      <w:r>
        <w:t xml:space="preserve"> changes are further due to the variation local magnetic saturation in the tooth-tips as shown in Fig.16</w:t>
      </w:r>
      <w:r>
        <w:rPr>
          <w:rFonts w:hint="eastAsia"/>
        </w:rPr>
        <w:t>.</w:t>
      </w:r>
    </w:p>
    <w:p w:rsidR="00054332" w:rsidRDefault="00054332" w:rsidP="00054332">
      <w:pPr>
        <w:pStyle w:val="3"/>
      </w:pPr>
      <w:proofErr w:type="gramStart"/>
      <w:r>
        <w:rPr>
          <w:rFonts w:hint="eastAsia"/>
          <w:bCs/>
          <w:color w:val="000000"/>
        </w:rPr>
        <w:t>9</w:t>
      </w:r>
      <w:r>
        <w:t xml:space="preserve">  F</w:t>
      </w:r>
      <w:r>
        <w:rPr>
          <w:rFonts w:ascii="Times" w:hAnsi="Times"/>
          <w:spacing w:val="2"/>
        </w:rPr>
        <w:t>lux</w:t>
      </w:r>
      <w:proofErr w:type="gramEnd"/>
      <w:r>
        <w:rPr>
          <w:rFonts w:ascii="Times" w:hAnsi="Times"/>
          <w:spacing w:val="2"/>
        </w:rPr>
        <w:t xml:space="preserve"> Weakening Performance Analyses</w:t>
      </w:r>
    </w:p>
    <w:p w:rsidR="00054332" w:rsidRDefault="00054332" w:rsidP="00054332">
      <w:pPr>
        <w:ind w:firstLineChars="200" w:firstLine="424"/>
        <w:jc w:val="distribute"/>
        <w:rPr>
          <w:noProof/>
        </w:rPr>
      </w:pPr>
      <w:r>
        <w:t>Flux weakening control is an essential technique</w:t>
      </w:r>
    </w:p>
    <w:p w:rsidR="00054332" w:rsidRDefault="00054332" w:rsidP="00C6215D">
      <w:pPr>
        <w:spacing w:beforeLines="20"/>
        <w:jc w:val="center"/>
        <w:rPr>
          <w:sz w:val="15"/>
          <w:szCs w:val="18"/>
        </w:rPr>
      </w:pPr>
      <w:r>
        <w:rPr>
          <w:noProof/>
          <w:sz w:val="15"/>
        </w:rPr>
        <w:drawing>
          <wp:inline distT="0" distB="0" distL="0" distR="0">
            <wp:extent cx="2305685" cy="930275"/>
            <wp:effectExtent l="19050" t="0" r="0" b="0"/>
            <wp:docPr id="48" name="图片 48" descr="..\..\..\图片\新建文件夹\1000\1000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新建文件夹\1000\100016a.tif"/>
                    <pic:cNvPicPr>
                      <a:picLocks noChangeAspect="1" noChangeArrowheads="1"/>
                    </pic:cNvPicPr>
                  </pic:nvPicPr>
                  <pic:blipFill>
                    <a:blip r:embed="rId75" cstate="print"/>
                    <a:srcRect/>
                    <a:stretch>
                      <a:fillRect/>
                    </a:stretch>
                  </pic:blipFill>
                  <pic:spPr bwMode="auto">
                    <a:xfrm>
                      <a:off x="0" y="0"/>
                      <a:ext cx="2305685" cy="930275"/>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lastRenderedPageBreak/>
        <w:t>(a) Locations of detecting points</w:t>
      </w:r>
    </w:p>
    <w:p w:rsidR="00054332" w:rsidRDefault="00054332" w:rsidP="00C6215D">
      <w:pPr>
        <w:spacing w:afterLines="30"/>
        <w:jc w:val="center"/>
        <w:rPr>
          <w:sz w:val="15"/>
          <w:szCs w:val="18"/>
        </w:rPr>
      </w:pPr>
      <w:r>
        <w:rPr>
          <w:noProof/>
          <w:sz w:val="15"/>
        </w:rPr>
        <w:drawing>
          <wp:inline distT="0" distB="0" distL="0" distR="0">
            <wp:extent cx="2433320" cy="1574165"/>
            <wp:effectExtent l="19050" t="0" r="5080" b="0"/>
            <wp:docPr id="49" name="图片 49" descr="出片图片\1000\10001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出片图片\1000\100016b.tif"/>
                    <pic:cNvPicPr>
                      <a:picLocks noChangeAspect="1" noChangeArrowheads="1"/>
                    </pic:cNvPicPr>
                  </pic:nvPicPr>
                  <pic:blipFill>
                    <a:blip r:embed="rId76" cstate="print"/>
                    <a:srcRect/>
                    <a:stretch>
                      <a:fillRect/>
                    </a:stretch>
                  </pic:blipFill>
                  <pic:spPr bwMode="auto">
                    <a:xfrm>
                      <a:off x="0" y="0"/>
                      <a:ext cx="2433320" cy="157416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Variation of permeability in tooth-tips</w:t>
      </w:r>
    </w:p>
    <w:p w:rsidR="00054332" w:rsidRDefault="00054332" w:rsidP="00054332">
      <w:pPr>
        <w:pStyle w:val="ae"/>
      </w:pPr>
      <w:r>
        <w:t>Fig</w:t>
      </w:r>
      <w:r>
        <w:rPr>
          <w:rFonts w:hint="eastAsia"/>
        </w:rPr>
        <w:t>.</w:t>
      </w:r>
      <w:r>
        <w:t xml:space="preserve">16 </w:t>
      </w:r>
      <w:r>
        <w:rPr>
          <w:rFonts w:hint="eastAsia"/>
        </w:rPr>
        <w:t xml:space="preserve"> </w:t>
      </w:r>
      <w:r>
        <w:rPr>
          <w:lang w:val="en-GB"/>
        </w:rPr>
        <w:t>Relative permeability for tooth-tip bridges between each phase coils</w:t>
      </w:r>
      <w:r>
        <w:t xml:space="preserve"> of 12s/8p SPM machine when </w:t>
      </w:r>
      <w:proofErr w:type="spellStart"/>
      <w:r>
        <w:rPr>
          <w:i/>
          <w:lang w:val="en-GB"/>
        </w:rPr>
        <w:t>I</w:t>
      </w:r>
      <w:r>
        <w:rPr>
          <w:vertAlign w:val="subscript"/>
          <w:lang w:val="en-GB"/>
        </w:rPr>
        <w:t>a</w:t>
      </w:r>
      <w:proofErr w:type="spellEnd"/>
      <w:r>
        <w:rPr>
          <w:lang w:val="en-GB"/>
        </w:rPr>
        <w:t xml:space="preserve">=10A and </w:t>
      </w:r>
      <w:r>
        <w:rPr>
          <w:rFonts w:ascii="Symbol" w:hAnsi="Symbol"/>
          <w:i/>
          <w:iCs/>
        </w:rPr>
        <w:t></w:t>
      </w:r>
      <w:r>
        <w:rPr>
          <w:rFonts w:ascii="Symbol" w:hAnsi="Symbol"/>
          <w:i/>
          <w:iCs/>
        </w:rPr>
        <w:t></w:t>
      </w:r>
      <w:r>
        <w:rPr>
          <w:lang w:val="en-GB"/>
        </w:rPr>
        <w:t>=0</w:t>
      </w:r>
      <w:r>
        <w:rPr>
          <w:rFonts w:hint="eastAsia"/>
          <w:spacing w:val="-60"/>
          <w:lang w:val="en-GB"/>
        </w:rPr>
        <w:t>°</w:t>
      </w:r>
      <w:r>
        <w:rPr>
          <w:vertAlign w:val="superscript"/>
        </w:rPr>
        <w:t>[52]</w:t>
      </w:r>
    </w:p>
    <w:p w:rsidR="00054332" w:rsidRDefault="00054332" w:rsidP="00C6215D">
      <w:pPr>
        <w:spacing w:beforeLines="30"/>
      </w:pPr>
      <w:proofErr w:type="gramStart"/>
      <w:r>
        <w:t>to</w:t>
      </w:r>
      <w:proofErr w:type="gramEnd"/>
      <w:r>
        <w:t xml:space="preserve"> achieve wide constant power speed range which is very often required for high performance electrical machines, such as electric vehicle applications. However, the constant parameter machine models could result in significant inaccuracy on the flux</w:t>
      </w:r>
      <w:r>
        <w:rPr>
          <w:rFonts w:hint="eastAsia"/>
        </w:rPr>
        <w:t xml:space="preserve"> </w:t>
      </w:r>
      <w:r>
        <w:t xml:space="preserve">weakening performance </w:t>
      </w:r>
      <w:proofErr w:type="gramStart"/>
      <w:r>
        <w:t>prediction</w:t>
      </w:r>
      <w:r>
        <w:rPr>
          <w:vertAlign w:val="superscript"/>
        </w:rPr>
        <w:t>[</w:t>
      </w:r>
      <w:proofErr w:type="gramEnd"/>
      <w:r>
        <w:rPr>
          <w:vertAlign w:val="superscript"/>
        </w:rPr>
        <w:t>15,5</w:t>
      </w:r>
      <w:r>
        <w:rPr>
          <w:rFonts w:hint="eastAsia"/>
          <w:vertAlign w:val="superscript"/>
        </w:rPr>
        <w:t>8</w:t>
      </w:r>
      <w:r>
        <w:rPr>
          <w:vertAlign w:val="superscript"/>
        </w:rPr>
        <w:t>]</w:t>
      </w:r>
      <w:r>
        <w:t>. By using FP technique, the on-load flux linkages and inductances can be calculated. Then</w:t>
      </w:r>
      <w:r>
        <w:rPr>
          <w:rFonts w:hint="eastAsia"/>
        </w:rPr>
        <w:t>,</w:t>
      </w:r>
      <w:r>
        <w:t xml:space="preserve"> it is possible to predict the flux weakening performance more accurately</w:t>
      </w:r>
      <w:r>
        <w:rPr>
          <w:rFonts w:hint="eastAsia"/>
        </w:rPr>
        <w:t>.</w:t>
      </w:r>
      <w:r>
        <w:t xml:space="preserve"> The examples for flux weakening performance prediction based on FP technique calculated parameters can be found in Ref</w:t>
      </w:r>
      <w:proofErr w:type="gramStart"/>
      <w:r>
        <w:t>.[</w:t>
      </w:r>
      <w:proofErr w:type="gramEnd"/>
      <w:r>
        <w:t>13,15</w:t>
      </w:r>
      <w:r>
        <w:rPr>
          <w:rFonts w:hint="eastAsia"/>
        </w:rPr>
        <w:t>,</w:t>
      </w:r>
      <w:r>
        <w:t>22</w:t>
      </w:r>
      <w:r>
        <w:rPr>
          <w:rFonts w:hint="eastAsia"/>
        </w:rPr>
        <w:t>,</w:t>
      </w:r>
      <w:r>
        <w:t>25</w:t>
      </w:r>
      <w:r>
        <w:rPr>
          <w:rFonts w:hint="eastAsia"/>
        </w:rPr>
        <w:t>,</w:t>
      </w:r>
      <w:r>
        <w:t>52</w:t>
      </w:r>
      <w:r>
        <w:rPr>
          <w:rFonts w:hint="eastAsia"/>
        </w:rPr>
        <w:t>-</w:t>
      </w:r>
      <w:r>
        <w:t>57</w:t>
      </w:r>
      <w:r>
        <w:rPr>
          <w:rFonts w:hint="eastAsia"/>
        </w:rPr>
        <w:t>,</w:t>
      </w:r>
      <w:r>
        <w:t xml:space="preserve">59]. However, it should be noted that the flux weakening performance prediction only based on the fundamental component of phase flux linkages (or average </w:t>
      </w:r>
      <w:r>
        <w:rPr>
          <w:iCs/>
        </w:rPr>
        <w:t>d</w:t>
      </w:r>
      <w:r>
        <w:t xml:space="preserve">- and </w:t>
      </w:r>
      <w:r>
        <w:rPr>
          <w:iCs/>
        </w:rPr>
        <w:t>q</w:t>
      </w:r>
      <w:r>
        <w:t>-axis flux linkages) could also result in large inaccuracy when the on-load voltage is distorted from sinusoidal</w:t>
      </w:r>
      <w:r>
        <w:rPr>
          <w:vertAlign w:val="superscript"/>
        </w:rPr>
        <w:t>[52-57]</w:t>
      </w:r>
      <w:r>
        <w:t xml:space="preserve">. It is due to that the voltage distortion will make the peak voltage much larger than the fundamental value. Consequently, the machine enters the flux weakening operation much earlier when the DC bus voltage </w:t>
      </w:r>
      <w:r>
        <w:rPr>
          <w:i/>
        </w:rPr>
        <w:t>U</w:t>
      </w:r>
      <w:r>
        <w:rPr>
          <w:vertAlign w:val="subscript"/>
        </w:rPr>
        <w:t>DC</w:t>
      </w:r>
      <w:r>
        <w:t xml:space="preserve"> is fixed. </w:t>
      </w:r>
    </w:p>
    <w:p w:rsidR="00054332" w:rsidRDefault="00054332" w:rsidP="00054332">
      <w:pPr>
        <w:ind w:firstLineChars="200" w:firstLine="424"/>
      </w:pPr>
      <w:r>
        <w:t>The influence of on-load voltage distortion on the flux weakening performance of the 12s/8p SPM machine listed in Tab</w:t>
      </w:r>
      <w:r>
        <w:rPr>
          <w:rFonts w:hint="eastAsia"/>
        </w:rPr>
        <w:t>.</w:t>
      </w:r>
      <w:r>
        <w:t>2, which is presented in Ref</w:t>
      </w:r>
      <w:proofErr w:type="gramStart"/>
      <w:r>
        <w:t>.[</w:t>
      </w:r>
      <w:proofErr w:type="gramEnd"/>
      <w:r>
        <w:t xml:space="preserve">52], is shown in Fig.17 as an example. It can be seen that the actual base speed considering the voltage distortion is much lower than the one considering the fundamental components only. The maximum torque in the deep flux weakening area also drops much </w:t>
      </w:r>
      <w:r>
        <w:lastRenderedPageBreak/>
        <w:t>faster when considering the voltage distortion.</w:t>
      </w:r>
    </w:p>
    <w:p w:rsidR="00054332" w:rsidRDefault="00054332" w:rsidP="00C6215D">
      <w:pPr>
        <w:spacing w:beforeLines="50" w:afterLines="50"/>
        <w:jc w:val="center"/>
        <w:rPr>
          <w:sz w:val="15"/>
          <w:szCs w:val="18"/>
        </w:rPr>
      </w:pPr>
      <w:r>
        <w:rPr>
          <w:rFonts w:hint="eastAsia"/>
          <w:noProof/>
          <w:sz w:val="15"/>
        </w:rPr>
        <w:t xml:space="preserve">  </w:t>
      </w:r>
      <w:r>
        <w:rPr>
          <w:noProof/>
          <w:sz w:val="15"/>
        </w:rPr>
        <w:drawing>
          <wp:inline distT="0" distB="0" distL="0" distR="0">
            <wp:extent cx="2639695" cy="1534795"/>
            <wp:effectExtent l="19050" t="0" r="8255" b="0"/>
            <wp:docPr id="50" name="图片 50" descr="..\..\..\图片\新建文件夹\1000\10001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新建文件夹\1000\100017a.tif"/>
                    <pic:cNvPicPr>
                      <a:picLocks noChangeAspect="1" noChangeArrowheads="1"/>
                    </pic:cNvPicPr>
                  </pic:nvPicPr>
                  <pic:blipFill>
                    <a:blip r:embed="rId77" cstate="print"/>
                    <a:srcRect/>
                    <a:stretch>
                      <a:fillRect/>
                    </a:stretch>
                  </pic:blipFill>
                  <pic:spPr bwMode="auto">
                    <a:xfrm>
                      <a:off x="0" y="0"/>
                      <a:ext cx="2639695" cy="153479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w:t>
      </w:r>
      <w:r>
        <w:rPr>
          <w:sz w:val="15"/>
          <w:lang w:val="en-GB"/>
        </w:rPr>
        <w:t>Torque and torque ripple against speed</w:t>
      </w:r>
    </w:p>
    <w:p w:rsidR="00054332" w:rsidRDefault="00054332" w:rsidP="00054332">
      <w:pPr>
        <w:jc w:val="center"/>
        <w:rPr>
          <w:sz w:val="15"/>
          <w:szCs w:val="18"/>
        </w:rPr>
      </w:pPr>
      <w:r>
        <w:rPr>
          <w:noProof/>
          <w:sz w:val="15"/>
        </w:rPr>
        <w:drawing>
          <wp:inline distT="0" distB="0" distL="0" distR="0">
            <wp:extent cx="2456815" cy="1566545"/>
            <wp:effectExtent l="19050" t="0" r="635" b="0"/>
            <wp:docPr id="51" name="图片 51" descr="出片图片\1000\10001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出片图片\1000\100017b.tif"/>
                    <pic:cNvPicPr>
                      <a:picLocks noChangeAspect="1" noChangeArrowheads="1"/>
                    </pic:cNvPicPr>
                  </pic:nvPicPr>
                  <pic:blipFill>
                    <a:blip r:embed="rId78" cstate="print"/>
                    <a:srcRect/>
                    <a:stretch>
                      <a:fillRect/>
                    </a:stretch>
                  </pic:blipFill>
                  <pic:spPr bwMode="auto">
                    <a:xfrm>
                      <a:off x="0" y="0"/>
                      <a:ext cx="2456815" cy="15665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proofErr w:type="spellStart"/>
      <w:proofErr w:type="gramStart"/>
      <w:r>
        <w:rPr>
          <w:rFonts w:hint="eastAsia"/>
          <w:sz w:val="15"/>
          <w:lang w:val="en-GB"/>
        </w:rPr>
        <w:t>d,</w:t>
      </w:r>
      <w:proofErr w:type="gramEnd"/>
      <w:r>
        <w:rPr>
          <w:sz w:val="15"/>
          <w:lang w:val="en-GB"/>
        </w:rPr>
        <w:t>q</w:t>
      </w:r>
      <w:proofErr w:type="spellEnd"/>
      <w:r>
        <w:rPr>
          <w:sz w:val="15"/>
          <w:lang w:val="en-GB"/>
        </w:rPr>
        <w:t>-axis currents against speed</w:t>
      </w:r>
    </w:p>
    <w:p w:rsidR="00054332" w:rsidRDefault="00054332" w:rsidP="00054332">
      <w:pPr>
        <w:pStyle w:val="ae"/>
      </w:pPr>
      <w:proofErr w:type="gramStart"/>
      <w:r>
        <w:t>Fig.17</w:t>
      </w:r>
      <w:r>
        <w:rPr>
          <w:rFonts w:hint="eastAsia"/>
        </w:rPr>
        <w:t xml:space="preserve"> </w:t>
      </w:r>
      <w:r>
        <w:t xml:space="preserve"> </w:t>
      </w:r>
      <w:r>
        <w:rPr>
          <w:lang w:val="en-GB"/>
        </w:rPr>
        <w:t>Variation</w:t>
      </w:r>
      <w:proofErr w:type="gramEnd"/>
      <w:r>
        <w:rPr>
          <w:lang w:val="en-GB"/>
        </w:rPr>
        <w:t xml:space="preserve"> of torque-speed characteristics for different calculation methods</w:t>
      </w:r>
      <w:r>
        <w:t xml:space="preserve"> of 12s/8p SPM machine </w:t>
      </w:r>
      <w:r>
        <w:rPr>
          <w:rFonts w:hint="eastAsia"/>
        </w:rPr>
        <w:br/>
      </w:r>
      <w:r>
        <w:t xml:space="preserve">when </w:t>
      </w:r>
      <w:proofErr w:type="spellStart"/>
      <w:r>
        <w:rPr>
          <w:i/>
          <w:lang w:val="en-GB"/>
        </w:rPr>
        <w:t>I</w:t>
      </w:r>
      <w:r>
        <w:rPr>
          <w:vertAlign w:val="subscript"/>
          <w:lang w:val="en-GB"/>
        </w:rPr>
        <w:t>a</w:t>
      </w:r>
      <w:proofErr w:type="spellEnd"/>
      <w:r>
        <w:rPr>
          <w:lang w:val="en-GB"/>
        </w:rPr>
        <w:t xml:space="preserve">=10A and </w:t>
      </w:r>
      <w:r>
        <w:rPr>
          <w:i/>
          <w:lang w:val="en-GB"/>
        </w:rPr>
        <w:t>U</w:t>
      </w:r>
      <w:r>
        <w:rPr>
          <w:vertAlign w:val="subscript"/>
          <w:lang w:val="en-GB"/>
        </w:rPr>
        <w:t>DC</w:t>
      </w:r>
      <w:r>
        <w:rPr>
          <w:lang w:val="en-GB"/>
        </w:rPr>
        <w:t>=42V</w:t>
      </w:r>
      <w:r>
        <w:rPr>
          <w:vertAlign w:val="superscript"/>
          <w:lang w:val="en-GB"/>
        </w:rPr>
        <w:t>[52</w:t>
      </w:r>
      <w:r>
        <w:rPr>
          <w:vertAlign w:val="superscript"/>
        </w:rPr>
        <w:t>]</w:t>
      </w:r>
    </w:p>
    <w:p w:rsidR="00054332" w:rsidRDefault="00054332" w:rsidP="00054332">
      <w:pPr>
        <w:pStyle w:val="3"/>
      </w:pPr>
      <w:proofErr w:type="gramStart"/>
      <w:r>
        <w:rPr>
          <w:bCs/>
        </w:rPr>
        <w:t>1</w:t>
      </w:r>
      <w:r>
        <w:rPr>
          <w:rFonts w:hint="eastAsia"/>
          <w:bCs/>
        </w:rPr>
        <w:t>0</w:t>
      </w:r>
      <w:r>
        <w:t xml:space="preserve">  Analyses</w:t>
      </w:r>
      <w:proofErr w:type="gramEnd"/>
      <w:r>
        <w:t xml:space="preserve"> on </w:t>
      </w:r>
      <w:r>
        <w:rPr>
          <w:lang w:val="en-GB"/>
        </w:rPr>
        <w:t>Other Issues</w:t>
      </w:r>
    </w:p>
    <w:p w:rsidR="00054332" w:rsidRDefault="00054332" w:rsidP="00054332">
      <w:pPr>
        <w:ind w:firstLineChars="200" w:firstLine="424"/>
      </w:pPr>
      <w:r>
        <w:t>Except the aforementioned parameters and per</w:t>
      </w:r>
      <w:r>
        <w:rPr>
          <w:rFonts w:hint="eastAsia"/>
        </w:rPr>
        <w:t xml:space="preserve">- </w:t>
      </w:r>
      <w:proofErr w:type="spellStart"/>
      <w:r>
        <w:t>formance</w:t>
      </w:r>
      <w:proofErr w:type="spellEnd"/>
      <w:r>
        <w:t>, the FP technique has also been used to help investigating other issues in PM machines</w:t>
      </w:r>
      <w:r>
        <w:rPr>
          <w:rFonts w:hint="eastAsia"/>
        </w:rPr>
        <w:t>.</w:t>
      </w:r>
      <w:r>
        <w:t xml:space="preserve"> For example, in Ref</w:t>
      </w:r>
      <w:proofErr w:type="gramStart"/>
      <w:r>
        <w:t>.[</w:t>
      </w:r>
      <w:proofErr w:type="gramEnd"/>
      <w:r>
        <w:t>60</w:t>
      </w:r>
      <w:r>
        <w:rPr>
          <w:rFonts w:hint="eastAsia"/>
        </w:rPr>
        <w:t>,</w:t>
      </w:r>
      <w:r>
        <w:t xml:space="preserve">61], the radial </w:t>
      </w:r>
      <w:proofErr w:type="spellStart"/>
      <w:r>
        <w:t>fore</w:t>
      </w:r>
      <w:proofErr w:type="spellEnd"/>
      <w:r>
        <w:t xml:space="preserve"> distributions are analyze</w:t>
      </w:r>
      <w:r>
        <w:rPr>
          <w:rFonts w:hint="eastAsia"/>
        </w:rPr>
        <w:t>d</w:t>
      </w:r>
      <w:r>
        <w:t xml:space="preserve"> based on the on-load </w:t>
      </w:r>
      <w:proofErr w:type="spellStart"/>
      <w:r>
        <w:t>airgap</w:t>
      </w:r>
      <w:proofErr w:type="spellEnd"/>
      <w:r>
        <w:t xml:space="preserve"> flux density components. In Ref</w:t>
      </w:r>
      <w:proofErr w:type="gramStart"/>
      <w:r>
        <w:t>.[</w:t>
      </w:r>
      <w:proofErr w:type="gramEnd"/>
      <w:r>
        <w:t>62], the on-load PM leakage flux through the iron bridge of an IPM machine with segmented PMs is obtained to explain the enhance</w:t>
      </w:r>
      <w:r>
        <w:rPr>
          <w:rFonts w:hint="eastAsia"/>
        </w:rPr>
        <w:t xml:space="preserve">- </w:t>
      </w:r>
      <w:proofErr w:type="spellStart"/>
      <w:r>
        <w:t>ment</w:t>
      </w:r>
      <w:proofErr w:type="spellEnd"/>
      <w:r>
        <w:t xml:space="preserve"> of its flux weakening capability.</w:t>
      </w:r>
    </w:p>
    <w:p w:rsidR="00054332" w:rsidRDefault="00054332" w:rsidP="00054332">
      <w:pPr>
        <w:pStyle w:val="3"/>
        <w:ind w:left="556" w:hangingChars="220" w:hanging="556"/>
        <w:rPr>
          <w:rFonts w:ascii="SimSun" w:hAnsi="SimSun"/>
          <w:color w:val="000000"/>
        </w:rPr>
      </w:pPr>
      <w:proofErr w:type="gramStart"/>
      <w:r>
        <w:rPr>
          <w:bCs/>
          <w:color w:val="000000"/>
        </w:rPr>
        <w:t>1</w:t>
      </w:r>
      <w:r>
        <w:rPr>
          <w:rFonts w:hint="eastAsia"/>
        </w:rPr>
        <w:t>1</w:t>
      </w:r>
      <w:r>
        <w:t xml:space="preserve">  </w:t>
      </w:r>
      <w:r>
        <w:rPr>
          <w:rFonts w:ascii="Times" w:hAnsi="Times"/>
          <w:spacing w:val="2"/>
        </w:rPr>
        <w:t>Applications</w:t>
      </w:r>
      <w:proofErr w:type="gramEnd"/>
      <w:r>
        <w:rPr>
          <w:rFonts w:ascii="Times" w:hAnsi="Times"/>
          <w:spacing w:val="2"/>
        </w:rPr>
        <w:t xml:space="preserve"> to Other Types of </w:t>
      </w:r>
      <w:proofErr w:type="spellStart"/>
      <w:r>
        <w:rPr>
          <w:rFonts w:ascii="Times" w:hAnsi="Times"/>
          <w:spacing w:val="2"/>
        </w:rPr>
        <w:t>Electri</w:t>
      </w:r>
      <w:proofErr w:type="spellEnd"/>
      <w:r>
        <w:rPr>
          <w:rFonts w:hint="eastAsia"/>
        </w:rPr>
        <w:t xml:space="preserve">- </w:t>
      </w:r>
      <w:r>
        <w:t>cal Machines</w:t>
      </w:r>
    </w:p>
    <w:p w:rsidR="00054332" w:rsidRDefault="00054332" w:rsidP="00054332">
      <w:pPr>
        <w:ind w:firstLineChars="200" w:firstLine="424"/>
      </w:pPr>
      <w:r>
        <w:t>With the foregoing sections focused on the applications in PM machines, this section is dedicated to the applications of the FP technique to the other types of electrical machines</w:t>
      </w:r>
      <w:r>
        <w:rPr>
          <w:rFonts w:hint="eastAsia"/>
        </w:rPr>
        <w:t>.</w:t>
      </w:r>
    </w:p>
    <w:p w:rsidR="00054332" w:rsidRDefault="00054332" w:rsidP="00054332">
      <w:pPr>
        <w:ind w:firstLineChars="200" w:firstLine="424"/>
      </w:pPr>
      <w:r>
        <w:t>The relevant applications to induction machines can be found in Ref</w:t>
      </w:r>
      <w:proofErr w:type="gramStart"/>
      <w:r>
        <w:t>.[</w:t>
      </w:r>
      <w:proofErr w:type="gramEnd"/>
      <w:r>
        <w:t>63</w:t>
      </w:r>
      <w:r>
        <w:rPr>
          <w:rFonts w:hint="eastAsia"/>
        </w:rPr>
        <w:t>-</w:t>
      </w:r>
      <w:r>
        <w:t>65]. In Ref</w:t>
      </w:r>
      <w:proofErr w:type="gramStart"/>
      <w:r>
        <w:t>.[</w:t>
      </w:r>
      <w:proofErr w:type="gramEnd"/>
      <w:r>
        <w:t xml:space="preserve">63], the FP technique is used to identify the influence of local </w:t>
      </w:r>
      <w:r>
        <w:lastRenderedPageBreak/>
        <w:t>magnetic saturation near the broken rotor bar on the stator current. In Ref</w:t>
      </w:r>
      <w:proofErr w:type="gramStart"/>
      <w:r>
        <w:t>.[</w:t>
      </w:r>
      <w:proofErr w:type="gramEnd"/>
      <w:r>
        <w:t>64</w:t>
      </w:r>
      <w:r>
        <w:rPr>
          <w:rFonts w:hint="eastAsia"/>
        </w:rPr>
        <w:t>,</w:t>
      </w:r>
      <w:r>
        <w:t xml:space="preserve">65], the FP method is employed to calculate the equivalent circuit </w:t>
      </w:r>
      <w:proofErr w:type="spellStart"/>
      <w:r>
        <w:t>para</w:t>
      </w:r>
      <w:proofErr w:type="spellEnd"/>
      <w:r>
        <w:rPr>
          <w:rFonts w:hint="eastAsia"/>
        </w:rPr>
        <w:t xml:space="preserve">- </w:t>
      </w:r>
      <w:r>
        <w:t>meters of induction machines, especially the leakage inductances.</w:t>
      </w:r>
    </w:p>
    <w:p w:rsidR="00054332" w:rsidRDefault="00054332" w:rsidP="00054332">
      <w:pPr>
        <w:ind w:firstLineChars="200" w:firstLine="424"/>
      </w:pPr>
      <w:r>
        <w:t>For electrically excited machines, the relevant publications can be found in Ref</w:t>
      </w:r>
      <w:proofErr w:type="gramStart"/>
      <w:r>
        <w:t>.[</w:t>
      </w:r>
      <w:proofErr w:type="gramEnd"/>
      <w:r>
        <w:t>66</w:t>
      </w:r>
      <w:r>
        <w:rPr>
          <w:rFonts w:hint="eastAsia"/>
        </w:rPr>
        <w:t>-</w:t>
      </w:r>
      <w:r>
        <w:t>68]. In Ref</w:t>
      </w:r>
      <w:proofErr w:type="gramStart"/>
      <w:r>
        <w:t>.[</w:t>
      </w:r>
      <w:proofErr w:type="gramEnd"/>
      <w:r>
        <w:t>66], the on-load magnetic field and flux linkage com</w:t>
      </w:r>
      <w:r>
        <w:rPr>
          <w:rFonts w:hint="eastAsia"/>
        </w:rPr>
        <w:t xml:space="preserve">- </w:t>
      </w:r>
      <w:proofErr w:type="spellStart"/>
      <w:r>
        <w:t>ponents</w:t>
      </w:r>
      <w:proofErr w:type="spellEnd"/>
      <w:r>
        <w:t xml:space="preserve"> are obtained to explain the terminal voltage increase of a PM-assisted salient pole electrically excited machine. In Ref</w:t>
      </w:r>
      <w:proofErr w:type="gramStart"/>
      <w:r>
        <w:t>.[</w:t>
      </w:r>
      <w:proofErr w:type="gramEnd"/>
      <w:r>
        <w:t>67</w:t>
      </w:r>
      <w:r>
        <w:rPr>
          <w:rFonts w:hint="eastAsia"/>
        </w:rPr>
        <w:t>,</w:t>
      </w:r>
      <w:r>
        <w:t xml:space="preserve">68], variation of inductances with the load is calculated to improve the maximum torque per ampere control of electrically excited machine under heavy magnetic saturation operations. </w:t>
      </w:r>
    </w:p>
    <w:p w:rsidR="00054332" w:rsidRDefault="00054332" w:rsidP="00054332">
      <w:pPr>
        <w:ind w:firstLineChars="200" w:firstLine="424"/>
      </w:pPr>
      <w:r>
        <w:t>The investigations in Ref</w:t>
      </w:r>
      <w:proofErr w:type="gramStart"/>
      <w:r>
        <w:t>.[</w:t>
      </w:r>
      <w:proofErr w:type="gramEnd"/>
      <w:r>
        <w:t>17] and Ref.[69] are on SR machines. In Ref</w:t>
      </w:r>
      <w:proofErr w:type="gramStart"/>
      <w:r>
        <w:t>.[</w:t>
      </w:r>
      <w:proofErr w:type="gramEnd"/>
      <w:r>
        <w:t xml:space="preserve">17], the on-load phase flux linkage variations are obtained to explain the </w:t>
      </w:r>
      <w:proofErr w:type="spellStart"/>
      <w:r>
        <w:t>influ</w:t>
      </w:r>
      <w:proofErr w:type="spellEnd"/>
      <w:r>
        <w:rPr>
          <w:rFonts w:hint="eastAsia"/>
        </w:rPr>
        <w:t xml:space="preserve">- </w:t>
      </w:r>
      <w:proofErr w:type="spellStart"/>
      <w:r>
        <w:t>ence</w:t>
      </w:r>
      <w:proofErr w:type="spellEnd"/>
      <w:r>
        <w:t xml:space="preserve"> of mutual coupling effect on torque production in SR machines having different winding topologies. In Ref</w:t>
      </w:r>
      <w:proofErr w:type="gramStart"/>
      <w:r>
        <w:t>.[</w:t>
      </w:r>
      <w:proofErr w:type="gramEnd"/>
      <w:r>
        <w:t>69], the self</w:t>
      </w:r>
      <w:r>
        <w:rPr>
          <w:rFonts w:hint="eastAsia"/>
        </w:rPr>
        <w:t>-</w:t>
      </w:r>
      <w:r>
        <w:t xml:space="preserve"> and mutual torques of conventional and mutually coupled SR machines are obtained based on the on-load self</w:t>
      </w:r>
      <w:r>
        <w:rPr>
          <w:rFonts w:hint="eastAsia"/>
        </w:rPr>
        <w:t>-</w:t>
      </w:r>
      <w:r>
        <w:t xml:space="preserve"> and mutual flux linkages for performance comparison and selection of optimal current waveform. </w:t>
      </w:r>
    </w:p>
    <w:p w:rsidR="00054332" w:rsidRDefault="00054332" w:rsidP="00054332">
      <w:pPr>
        <w:ind w:firstLineChars="200" w:firstLine="424"/>
      </w:pPr>
      <w:r>
        <w:t xml:space="preserve">In Ref.[43], the FP technique is used on a hybrid excited switched flux PM machine to obtain flux linkages and inductances for further performance </w:t>
      </w:r>
      <w:r>
        <w:rPr>
          <w:rFonts w:ascii="Times" w:hAnsi="Times"/>
          <w:spacing w:val="2"/>
        </w:rPr>
        <w:t>investigation including torque components and torque-</w:t>
      </w:r>
      <w:r>
        <w:rPr>
          <w:rFonts w:hint="eastAsia"/>
        </w:rPr>
        <w:t xml:space="preserve"> </w:t>
      </w:r>
      <w:r>
        <w:t>speed curves. In Ref</w:t>
      </w:r>
      <w:proofErr w:type="gramStart"/>
      <w:r>
        <w:t>.[</w:t>
      </w:r>
      <w:proofErr w:type="gramEnd"/>
      <w:r>
        <w:t>70], the torque separation is conducted by FP technique to assist the optimization of a hybrid rare-earth-free PM reluctance machine.</w:t>
      </w:r>
    </w:p>
    <w:p w:rsidR="00054332" w:rsidRDefault="00054332" w:rsidP="00054332">
      <w:pPr>
        <w:pStyle w:val="3"/>
      </w:pPr>
      <w:proofErr w:type="gramStart"/>
      <w:r>
        <w:rPr>
          <w:bCs/>
        </w:rPr>
        <w:t>1</w:t>
      </w:r>
      <w:r>
        <w:rPr>
          <w:rFonts w:hint="eastAsia"/>
          <w:bCs/>
        </w:rPr>
        <w:t>2</w:t>
      </w:r>
      <w:r>
        <w:t xml:space="preserve">  Conclusion</w:t>
      </w:r>
      <w:proofErr w:type="gramEnd"/>
    </w:p>
    <w:p w:rsidR="00054332" w:rsidRDefault="00054332" w:rsidP="00054332">
      <w:pPr>
        <w:ind w:firstLineChars="200" w:firstLine="424"/>
      </w:pPr>
      <w:r>
        <w:t xml:space="preserve">The FP technique and its applications in various electrical machines have been comprehensively reviewed in this paper. It shows that the FP technique is able to accurately separate </w:t>
      </w:r>
      <w:proofErr w:type="spellStart"/>
      <w:r>
        <w:t>on</w:t>
      </w:r>
      <w:proofErr w:type="spellEnd"/>
      <w:r>
        <w:t>-load magnetic field, flux linkage and inductance components in all types of electrical machines. The on-load field components and parameters can be further utilized for com</w:t>
      </w:r>
      <w:r>
        <w:rPr>
          <w:rFonts w:hint="eastAsia"/>
        </w:rPr>
        <w:t xml:space="preserve">- </w:t>
      </w:r>
      <w:proofErr w:type="spellStart"/>
      <w:r>
        <w:t>prehensive</w:t>
      </w:r>
      <w:proofErr w:type="spellEnd"/>
      <w:r>
        <w:t xml:space="preserve"> on-load performance analyses, such as average torque and torque ripple, voltage, flux weakening and radial force distribution. The accurate </w:t>
      </w:r>
      <w:r>
        <w:lastRenderedPageBreak/>
        <w:t>parameters can also improve the machine models and controls. All these features are very useful on developing high performance electrical machines.</w:t>
      </w:r>
    </w:p>
    <w:p w:rsidR="00054332" w:rsidRDefault="00054332" w:rsidP="00054332">
      <w:pPr>
        <w:ind w:firstLineChars="200" w:firstLine="426"/>
        <w:rPr>
          <w:noProof/>
        </w:rPr>
      </w:pPr>
      <w:r>
        <w:rPr>
          <w:b/>
          <w:bCs/>
          <w:noProof/>
        </w:rPr>
        <w:t>Acknowledgments:</w:t>
      </w:r>
      <w:r>
        <w:rPr>
          <w:noProof/>
        </w:rPr>
        <w:t xml:space="preserve"> The authors also thank Dr. Di Wu and Dr. Ziad Azar for their technical contributions.</w:t>
      </w:r>
    </w:p>
    <w:p w:rsidR="00054332" w:rsidRDefault="00054332" w:rsidP="00C6215D">
      <w:pPr>
        <w:spacing w:beforeLines="50" w:afterLines="50"/>
        <w:jc w:val="center"/>
        <w:rPr>
          <w:b/>
          <w:bCs/>
          <w:color w:val="000000"/>
        </w:rPr>
      </w:pPr>
      <w:r>
        <w:rPr>
          <w:b/>
          <w:bCs/>
          <w:color w:val="000000"/>
        </w:rPr>
        <w:t>Reference</w:t>
      </w:r>
    </w:p>
    <w:p w:rsidR="00054332" w:rsidRDefault="00054332" w:rsidP="00054332">
      <w:pPr>
        <w:ind w:left="448" w:hanging="448"/>
        <w:rPr>
          <w:color w:val="000000"/>
          <w:sz w:val="18"/>
        </w:rPr>
      </w:pPr>
      <w:r>
        <w:rPr>
          <w:color w:val="000000"/>
          <w:sz w:val="18"/>
        </w:rPr>
        <w:t>[1]</w:t>
      </w:r>
      <w:r>
        <w:rPr>
          <w:color w:val="000000"/>
          <w:sz w:val="18"/>
        </w:rPr>
        <w:tab/>
        <w:t xml:space="preserve">Chan C </w:t>
      </w:r>
      <w:proofErr w:type="spellStart"/>
      <w:r>
        <w:rPr>
          <w:color w:val="000000"/>
          <w:sz w:val="18"/>
        </w:rPr>
        <w:t>C</w:t>
      </w:r>
      <w:proofErr w:type="spellEnd"/>
      <w:r>
        <w:rPr>
          <w:color w:val="000000"/>
          <w:sz w:val="18"/>
        </w:rPr>
        <w:t xml:space="preserve">. The state of the art of electric, hybrid, and fuel cell </w:t>
      </w:r>
      <w:proofErr w:type="gramStart"/>
      <w:r>
        <w:rPr>
          <w:color w:val="000000"/>
          <w:sz w:val="18"/>
        </w:rPr>
        <w:t>vehicles[</w:t>
      </w:r>
      <w:proofErr w:type="gramEnd"/>
      <w:r>
        <w:rPr>
          <w:color w:val="000000"/>
          <w:sz w:val="18"/>
        </w:rPr>
        <w:t>J]. Proceeding</w:t>
      </w:r>
      <w:r>
        <w:rPr>
          <w:rFonts w:hint="eastAsia"/>
          <w:color w:val="000000"/>
          <w:sz w:val="18"/>
        </w:rPr>
        <w:t>s</w:t>
      </w:r>
      <w:r>
        <w:rPr>
          <w:color w:val="000000"/>
          <w:sz w:val="18"/>
        </w:rPr>
        <w:t xml:space="preserve"> of </w:t>
      </w:r>
      <w:r>
        <w:rPr>
          <w:rFonts w:hint="eastAsia"/>
          <w:color w:val="000000"/>
          <w:sz w:val="18"/>
        </w:rPr>
        <w:t xml:space="preserve">the </w:t>
      </w:r>
      <w:r>
        <w:rPr>
          <w:color w:val="000000"/>
          <w:sz w:val="18"/>
        </w:rPr>
        <w:t>IEEE, 2007, 95(4): 704-718.</w:t>
      </w:r>
    </w:p>
    <w:p w:rsidR="00054332" w:rsidRDefault="00054332" w:rsidP="00054332">
      <w:pPr>
        <w:ind w:left="448" w:hanging="448"/>
        <w:rPr>
          <w:color w:val="000000"/>
          <w:sz w:val="18"/>
        </w:rPr>
      </w:pPr>
      <w:r>
        <w:rPr>
          <w:color w:val="000000"/>
          <w:sz w:val="18"/>
        </w:rPr>
        <w:t>[2]</w:t>
      </w:r>
      <w:r>
        <w:rPr>
          <w:color w:val="000000"/>
          <w:sz w:val="18"/>
        </w:rPr>
        <w:tab/>
        <w:t xml:space="preserve">Zhu Z Q, Howe D. Electrical machines and drives for electric, hybrid, and fuel cell </w:t>
      </w:r>
      <w:proofErr w:type="gramStart"/>
      <w:r>
        <w:rPr>
          <w:color w:val="000000"/>
          <w:sz w:val="18"/>
        </w:rPr>
        <w:t>vehicles[</w:t>
      </w:r>
      <w:proofErr w:type="gramEnd"/>
      <w:r>
        <w:rPr>
          <w:color w:val="000000"/>
          <w:sz w:val="18"/>
        </w:rPr>
        <w:t>J]. Proceeding</w:t>
      </w:r>
      <w:r>
        <w:rPr>
          <w:rFonts w:hint="eastAsia"/>
          <w:color w:val="000000"/>
          <w:sz w:val="18"/>
        </w:rPr>
        <w:t>s</w:t>
      </w:r>
      <w:r>
        <w:rPr>
          <w:color w:val="000000"/>
          <w:sz w:val="18"/>
        </w:rPr>
        <w:t xml:space="preserve"> of </w:t>
      </w:r>
      <w:r>
        <w:rPr>
          <w:rFonts w:hint="eastAsia"/>
          <w:color w:val="000000"/>
          <w:sz w:val="18"/>
        </w:rPr>
        <w:t xml:space="preserve">the </w:t>
      </w:r>
      <w:r>
        <w:rPr>
          <w:color w:val="000000"/>
          <w:sz w:val="18"/>
        </w:rPr>
        <w:t>IEEE, 2007, 95(4):</w:t>
      </w:r>
      <w:r>
        <w:rPr>
          <w:rFonts w:hint="eastAsia"/>
          <w:color w:val="000000"/>
          <w:sz w:val="18"/>
        </w:rPr>
        <w:t xml:space="preserve"> </w:t>
      </w:r>
      <w:r>
        <w:rPr>
          <w:color w:val="000000"/>
          <w:sz w:val="18"/>
        </w:rPr>
        <w:t>746-765.</w:t>
      </w:r>
    </w:p>
    <w:p w:rsidR="00054332" w:rsidRDefault="00054332" w:rsidP="00054332">
      <w:pPr>
        <w:ind w:left="448" w:hanging="448"/>
        <w:rPr>
          <w:color w:val="000000"/>
          <w:sz w:val="18"/>
        </w:rPr>
      </w:pPr>
      <w:r>
        <w:rPr>
          <w:color w:val="000000"/>
          <w:sz w:val="18"/>
        </w:rPr>
        <w:t>[3]</w:t>
      </w:r>
      <w:r>
        <w:rPr>
          <w:color w:val="000000"/>
          <w:sz w:val="18"/>
        </w:rPr>
        <w:tab/>
        <w:t>El-</w:t>
      </w:r>
      <w:proofErr w:type="spellStart"/>
      <w:r>
        <w:rPr>
          <w:color w:val="000000"/>
          <w:sz w:val="18"/>
        </w:rPr>
        <w:t>Refaie</w:t>
      </w:r>
      <w:proofErr w:type="spellEnd"/>
      <w:r>
        <w:rPr>
          <w:color w:val="000000"/>
          <w:sz w:val="18"/>
        </w:rPr>
        <w:t xml:space="preserve"> A M. Motors/generators for traction/ propulsion applications: </w:t>
      </w:r>
      <w:r>
        <w:rPr>
          <w:rFonts w:hint="eastAsia"/>
          <w:color w:val="000000"/>
          <w:sz w:val="18"/>
        </w:rPr>
        <w:t>a</w:t>
      </w:r>
      <w:r>
        <w:rPr>
          <w:color w:val="000000"/>
          <w:sz w:val="18"/>
        </w:rPr>
        <w:t xml:space="preserve"> </w:t>
      </w:r>
      <w:proofErr w:type="gramStart"/>
      <w:r>
        <w:rPr>
          <w:color w:val="000000"/>
          <w:sz w:val="18"/>
        </w:rPr>
        <w:t>review[</w:t>
      </w:r>
      <w:proofErr w:type="gramEnd"/>
      <w:r>
        <w:rPr>
          <w:color w:val="000000"/>
          <w:sz w:val="18"/>
        </w:rPr>
        <w:t>J]. IEEE Vehicular Technology Magazine, 2013, 8</w:t>
      </w:r>
      <w:r>
        <w:rPr>
          <w:rFonts w:hint="eastAsia"/>
          <w:color w:val="000000"/>
          <w:sz w:val="18"/>
        </w:rPr>
        <w:t>(1)</w:t>
      </w:r>
      <w:r>
        <w:rPr>
          <w:color w:val="000000"/>
          <w:sz w:val="18"/>
        </w:rPr>
        <w:t>: 90-99.</w:t>
      </w:r>
    </w:p>
    <w:p w:rsidR="00054332" w:rsidRDefault="00054332" w:rsidP="00054332">
      <w:pPr>
        <w:ind w:left="448" w:hanging="448"/>
        <w:rPr>
          <w:color w:val="000000"/>
          <w:sz w:val="18"/>
        </w:rPr>
      </w:pPr>
      <w:r>
        <w:rPr>
          <w:color w:val="000000"/>
          <w:sz w:val="18"/>
        </w:rPr>
        <w:t>[4]</w:t>
      </w:r>
      <w:r>
        <w:rPr>
          <w:color w:val="000000"/>
          <w:sz w:val="18"/>
        </w:rPr>
        <w:tab/>
        <w:t xml:space="preserve">Cao W P, </w:t>
      </w:r>
      <w:proofErr w:type="spellStart"/>
      <w:r>
        <w:rPr>
          <w:color w:val="000000"/>
          <w:sz w:val="18"/>
        </w:rPr>
        <w:t>Mecrow</w:t>
      </w:r>
      <w:proofErr w:type="spellEnd"/>
      <w:r>
        <w:rPr>
          <w:color w:val="000000"/>
          <w:sz w:val="18"/>
        </w:rPr>
        <w:t xml:space="preserve"> B C, Atkinson G J, et al. Overview of electric motor technologies used for more electric aircraft (MEA)[J]. IEEE Transaction</w:t>
      </w:r>
      <w:r>
        <w:rPr>
          <w:rFonts w:hint="eastAsia"/>
          <w:color w:val="000000"/>
          <w:sz w:val="18"/>
        </w:rPr>
        <w:t>s</w:t>
      </w:r>
      <w:r>
        <w:rPr>
          <w:color w:val="000000"/>
          <w:sz w:val="18"/>
        </w:rPr>
        <w:t xml:space="preserve"> on Industry Electronics, 2012, 59(9): 3523-3531.</w:t>
      </w:r>
    </w:p>
    <w:p w:rsidR="00054332" w:rsidRDefault="00054332" w:rsidP="00054332">
      <w:pPr>
        <w:ind w:left="448" w:hanging="448"/>
        <w:rPr>
          <w:color w:val="000000"/>
          <w:sz w:val="18"/>
        </w:rPr>
      </w:pPr>
      <w:r>
        <w:rPr>
          <w:color w:val="000000"/>
          <w:sz w:val="18"/>
        </w:rPr>
        <w:t>[5]</w:t>
      </w:r>
      <w:r>
        <w:rPr>
          <w:color w:val="000000"/>
          <w:sz w:val="18"/>
        </w:rPr>
        <w:tab/>
        <w:t xml:space="preserve">Cheng M, </w:t>
      </w:r>
      <w:proofErr w:type="spellStart"/>
      <w:r>
        <w:rPr>
          <w:color w:val="000000"/>
          <w:sz w:val="18"/>
        </w:rPr>
        <w:t>Hua</w:t>
      </w:r>
      <w:proofErr w:type="spellEnd"/>
      <w:r>
        <w:rPr>
          <w:color w:val="000000"/>
          <w:sz w:val="18"/>
        </w:rPr>
        <w:t xml:space="preserve"> W, Zhang J, et al. Overview of stator-</w:t>
      </w:r>
      <w:r>
        <w:rPr>
          <w:rFonts w:hint="eastAsia"/>
          <w:color w:val="000000"/>
          <w:sz w:val="18"/>
        </w:rPr>
        <w:t xml:space="preserve"> </w:t>
      </w:r>
      <w:r>
        <w:rPr>
          <w:color w:val="000000"/>
          <w:sz w:val="18"/>
        </w:rPr>
        <w:t xml:space="preserve">permanent magnet brushless </w:t>
      </w:r>
      <w:proofErr w:type="gramStart"/>
      <w:r>
        <w:rPr>
          <w:color w:val="000000"/>
          <w:sz w:val="18"/>
        </w:rPr>
        <w:t>machines[</w:t>
      </w:r>
      <w:proofErr w:type="gramEnd"/>
      <w:r>
        <w:rPr>
          <w:color w:val="000000"/>
          <w:sz w:val="18"/>
        </w:rPr>
        <w:t>J]. IEEE Transaction</w:t>
      </w:r>
      <w:r>
        <w:rPr>
          <w:rFonts w:hint="eastAsia"/>
          <w:color w:val="000000"/>
          <w:sz w:val="18"/>
        </w:rPr>
        <w:t>s</w:t>
      </w:r>
      <w:r>
        <w:rPr>
          <w:color w:val="000000"/>
          <w:sz w:val="18"/>
        </w:rPr>
        <w:t xml:space="preserve"> on Industry Electronics, 2011, 58(11): 5087-5101.</w:t>
      </w:r>
    </w:p>
    <w:p w:rsidR="00054332" w:rsidRDefault="00054332" w:rsidP="00054332">
      <w:pPr>
        <w:ind w:left="448" w:hanging="448"/>
        <w:rPr>
          <w:color w:val="000000"/>
          <w:sz w:val="18"/>
        </w:rPr>
      </w:pPr>
      <w:r>
        <w:rPr>
          <w:color w:val="000000"/>
          <w:sz w:val="18"/>
        </w:rPr>
        <w:t>[6]</w:t>
      </w:r>
      <w:r>
        <w:rPr>
          <w:color w:val="000000"/>
          <w:sz w:val="18"/>
        </w:rPr>
        <w:tab/>
        <w:t>Zhu Z Q. Switched flux permanent magnet machines- innovation continues[C]//International Conference on Electrical Machines and Systems, 2011: 1-10.</w:t>
      </w:r>
    </w:p>
    <w:p w:rsidR="00054332" w:rsidRDefault="00054332" w:rsidP="00054332">
      <w:pPr>
        <w:ind w:left="448" w:hanging="448"/>
        <w:rPr>
          <w:color w:val="000000"/>
          <w:sz w:val="18"/>
        </w:rPr>
      </w:pPr>
      <w:r>
        <w:rPr>
          <w:color w:val="000000"/>
          <w:sz w:val="18"/>
        </w:rPr>
        <w:t>[7]</w:t>
      </w:r>
      <w:r>
        <w:rPr>
          <w:color w:val="000000"/>
          <w:sz w:val="18"/>
        </w:rPr>
        <w:tab/>
        <w:t xml:space="preserve">Eastham J F, Cox T, Proverbs J. Application of planar modular windings to linear induction motors by harmonic </w:t>
      </w:r>
      <w:proofErr w:type="gramStart"/>
      <w:r>
        <w:rPr>
          <w:color w:val="000000"/>
          <w:sz w:val="18"/>
        </w:rPr>
        <w:t>cancellation[</w:t>
      </w:r>
      <w:proofErr w:type="gramEnd"/>
      <w:r>
        <w:rPr>
          <w:color w:val="000000"/>
          <w:sz w:val="18"/>
        </w:rPr>
        <w:t>J]. IET Electric Power App</w:t>
      </w:r>
      <w:r>
        <w:rPr>
          <w:rFonts w:hint="eastAsia"/>
          <w:color w:val="000000"/>
          <w:sz w:val="18"/>
        </w:rPr>
        <w:t xml:space="preserve">- </w:t>
      </w:r>
      <w:proofErr w:type="spellStart"/>
      <w:r>
        <w:rPr>
          <w:color w:val="000000"/>
          <w:sz w:val="18"/>
        </w:rPr>
        <w:t>lications</w:t>
      </w:r>
      <w:proofErr w:type="spellEnd"/>
      <w:r>
        <w:rPr>
          <w:color w:val="000000"/>
          <w:sz w:val="18"/>
        </w:rPr>
        <w:t>, 2010, 4(3): 140-148.</w:t>
      </w:r>
    </w:p>
    <w:p w:rsidR="00054332" w:rsidRDefault="00054332" w:rsidP="00054332">
      <w:pPr>
        <w:ind w:left="448" w:hanging="448"/>
        <w:rPr>
          <w:color w:val="000000"/>
          <w:sz w:val="18"/>
        </w:rPr>
      </w:pPr>
      <w:r>
        <w:rPr>
          <w:color w:val="000000"/>
          <w:sz w:val="18"/>
        </w:rPr>
        <w:t>[8]</w:t>
      </w:r>
      <w:r>
        <w:rPr>
          <w:color w:val="000000"/>
          <w:sz w:val="18"/>
        </w:rPr>
        <w:tab/>
        <w:t xml:space="preserve">Levi E, </w:t>
      </w:r>
      <w:proofErr w:type="spellStart"/>
      <w:r>
        <w:rPr>
          <w:color w:val="000000"/>
          <w:sz w:val="18"/>
        </w:rPr>
        <w:t>Bojoi</w:t>
      </w:r>
      <w:proofErr w:type="spellEnd"/>
      <w:r>
        <w:rPr>
          <w:color w:val="000000"/>
          <w:sz w:val="18"/>
        </w:rPr>
        <w:t xml:space="preserve"> R, </w:t>
      </w:r>
      <w:proofErr w:type="spellStart"/>
      <w:r>
        <w:rPr>
          <w:color w:val="000000"/>
          <w:sz w:val="18"/>
        </w:rPr>
        <w:t>Profumo</w:t>
      </w:r>
      <w:proofErr w:type="spellEnd"/>
      <w:r>
        <w:rPr>
          <w:color w:val="000000"/>
          <w:sz w:val="18"/>
        </w:rPr>
        <w:t xml:space="preserve"> F, et al. Multiphase induction motor drives—a technology status review[J]. IET Electric Power Applications, 2007, 1(4): 489-</w:t>
      </w:r>
      <w:r>
        <w:rPr>
          <w:rFonts w:hint="eastAsia"/>
          <w:color w:val="000000"/>
          <w:sz w:val="18"/>
        </w:rPr>
        <w:t xml:space="preserve"> </w:t>
      </w:r>
      <w:r>
        <w:rPr>
          <w:color w:val="000000"/>
          <w:sz w:val="18"/>
        </w:rPr>
        <w:t>516.</w:t>
      </w:r>
    </w:p>
    <w:p w:rsidR="00054332" w:rsidRDefault="00054332" w:rsidP="00054332">
      <w:pPr>
        <w:ind w:left="448" w:hanging="448"/>
        <w:rPr>
          <w:color w:val="000000"/>
          <w:sz w:val="18"/>
        </w:rPr>
      </w:pPr>
      <w:r>
        <w:rPr>
          <w:color w:val="000000"/>
          <w:sz w:val="18"/>
        </w:rPr>
        <w:t>[9]</w:t>
      </w:r>
      <w:r>
        <w:rPr>
          <w:color w:val="000000"/>
          <w:sz w:val="18"/>
        </w:rPr>
        <w:tab/>
        <w:t xml:space="preserve">Bash M L, </w:t>
      </w:r>
      <w:proofErr w:type="spellStart"/>
      <w:r>
        <w:rPr>
          <w:color w:val="000000"/>
          <w:sz w:val="18"/>
        </w:rPr>
        <w:t>Pekarek</w:t>
      </w:r>
      <w:proofErr w:type="spellEnd"/>
      <w:r>
        <w:rPr>
          <w:color w:val="000000"/>
          <w:sz w:val="18"/>
        </w:rPr>
        <w:t xml:space="preserve"> S. Analysis and validation of a population-based design of a wound-rotor </w:t>
      </w:r>
      <w:proofErr w:type="spellStart"/>
      <w:r>
        <w:rPr>
          <w:color w:val="000000"/>
          <w:sz w:val="18"/>
        </w:rPr>
        <w:t>syn</w:t>
      </w:r>
      <w:proofErr w:type="spellEnd"/>
      <w:r>
        <w:rPr>
          <w:rFonts w:hint="eastAsia"/>
          <w:color w:val="000000"/>
          <w:sz w:val="18"/>
        </w:rPr>
        <w:t xml:space="preserve">- </w:t>
      </w:r>
      <w:proofErr w:type="spellStart"/>
      <w:r>
        <w:rPr>
          <w:color w:val="000000"/>
          <w:sz w:val="18"/>
        </w:rPr>
        <w:t>chronous</w:t>
      </w:r>
      <w:proofErr w:type="spellEnd"/>
      <w:r>
        <w:rPr>
          <w:color w:val="000000"/>
          <w:sz w:val="18"/>
        </w:rPr>
        <w:t xml:space="preserve"> </w:t>
      </w:r>
      <w:proofErr w:type="gramStart"/>
      <w:r>
        <w:rPr>
          <w:color w:val="000000"/>
          <w:sz w:val="18"/>
        </w:rPr>
        <w:t>machine[</w:t>
      </w:r>
      <w:proofErr w:type="gramEnd"/>
      <w:r>
        <w:rPr>
          <w:color w:val="000000"/>
          <w:sz w:val="18"/>
        </w:rPr>
        <w:t>J]. IEEE Transactions on Energy Conversion, 2012, 27(3): 603-614.</w:t>
      </w:r>
    </w:p>
    <w:p w:rsidR="00054332" w:rsidRDefault="00054332" w:rsidP="00054332">
      <w:pPr>
        <w:ind w:left="448" w:hanging="448"/>
        <w:rPr>
          <w:color w:val="000000"/>
          <w:sz w:val="18"/>
        </w:rPr>
      </w:pPr>
      <w:r>
        <w:rPr>
          <w:color w:val="000000"/>
          <w:sz w:val="18"/>
        </w:rPr>
        <w:t>[10]</w:t>
      </w:r>
      <w:r>
        <w:rPr>
          <w:color w:val="000000"/>
          <w:sz w:val="18"/>
        </w:rPr>
        <w:tab/>
      </w:r>
      <w:proofErr w:type="spellStart"/>
      <w:r>
        <w:rPr>
          <w:color w:val="000000"/>
          <w:sz w:val="18"/>
        </w:rPr>
        <w:t>Vijayakumar</w:t>
      </w:r>
      <w:proofErr w:type="spellEnd"/>
      <w:r>
        <w:rPr>
          <w:color w:val="000000"/>
          <w:sz w:val="18"/>
        </w:rPr>
        <w:t xml:space="preserve"> K, </w:t>
      </w:r>
      <w:proofErr w:type="spellStart"/>
      <w:r>
        <w:rPr>
          <w:color w:val="000000"/>
          <w:sz w:val="18"/>
        </w:rPr>
        <w:t>Karthikeyan</w:t>
      </w:r>
      <w:proofErr w:type="spellEnd"/>
      <w:r>
        <w:rPr>
          <w:color w:val="000000"/>
          <w:sz w:val="18"/>
        </w:rPr>
        <w:t xml:space="preserve"> R, </w:t>
      </w:r>
      <w:proofErr w:type="spellStart"/>
      <w:r>
        <w:rPr>
          <w:color w:val="000000"/>
          <w:sz w:val="18"/>
        </w:rPr>
        <w:t>Paramasivam</w:t>
      </w:r>
      <w:proofErr w:type="spellEnd"/>
      <w:r>
        <w:rPr>
          <w:color w:val="000000"/>
          <w:sz w:val="18"/>
        </w:rPr>
        <w:t xml:space="preserve"> S, et al. Switched reluctance motor modeling, design, simulation, and analysis: a comprehensive </w:t>
      </w:r>
      <w:proofErr w:type="gramStart"/>
      <w:r>
        <w:rPr>
          <w:color w:val="000000"/>
          <w:sz w:val="18"/>
        </w:rPr>
        <w:t>review[</w:t>
      </w:r>
      <w:proofErr w:type="gramEnd"/>
      <w:r>
        <w:rPr>
          <w:color w:val="000000"/>
          <w:sz w:val="18"/>
        </w:rPr>
        <w:t xml:space="preserve">J]. IEEE Transactions on Magnetics, 2008, 44(12): </w:t>
      </w:r>
      <w:r>
        <w:rPr>
          <w:color w:val="000000"/>
          <w:sz w:val="18"/>
        </w:rPr>
        <w:lastRenderedPageBreak/>
        <w:t>4605-4617.</w:t>
      </w:r>
    </w:p>
    <w:p w:rsidR="00054332" w:rsidRDefault="00054332" w:rsidP="00054332">
      <w:pPr>
        <w:ind w:left="448" w:hanging="448"/>
        <w:rPr>
          <w:color w:val="000000"/>
          <w:sz w:val="18"/>
        </w:rPr>
      </w:pPr>
      <w:r>
        <w:rPr>
          <w:color w:val="000000"/>
          <w:sz w:val="18"/>
        </w:rPr>
        <w:t>[11]</w:t>
      </w:r>
      <w:r>
        <w:rPr>
          <w:color w:val="000000"/>
          <w:sz w:val="18"/>
        </w:rPr>
        <w:tab/>
        <w:t xml:space="preserve">Bianchi N, </w:t>
      </w:r>
      <w:proofErr w:type="spellStart"/>
      <w:r>
        <w:rPr>
          <w:color w:val="000000"/>
          <w:sz w:val="18"/>
        </w:rPr>
        <w:t>Bolognani</w:t>
      </w:r>
      <w:proofErr w:type="spellEnd"/>
      <w:r>
        <w:rPr>
          <w:color w:val="000000"/>
          <w:sz w:val="18"/>
        </w:rPr>
        <w:t xml:space="preserve"> S, Bon D, et al. Torque harmonic compensation in a synchronous reluctance </w:t>
      </w:r>
      <w:proofErr w:type="gramStart"/>
      <w:r>
        <w:rPr>
          <w:color w:val="000000"/>
          <w:sz w:val="18"/>
        </w:rPr>
        <w:t>motor[</w:t>
      </w:r>
      <w:proofErr w:type="gramEnd"/>
      <w:r>
        <w:rPr>
          <w:color w:val="000000"/>
          <w:sz w:val="18"/>
        </w:rPr>
        <w:t>J].  IEEE Transactions on Energy Conversion, 2008, 23(2): 466-473.</w:t>
      </w:r>
    </w:p>
    <w:p w:rsidR="00054332" w:rsidRDefault="00054332" w:rsidP="00054332">
      <w:pPr>
        <w:ind w:left="448" w:hanging="448"/>
        <w:rPr>
          <w:color w:val="000000"/>
          <w:sz w:val="18"/>
        </w:rPr>
      </w:pPr>
      <w:r>
        <w:rPr>
          <w:color w:val="000000"/>
          <w:sz w:val="18"/>
        </w:rPr>
        <w:t>[12]</w:t>
      </w:r>
      <w:r>
        <w:rPr>
          <w:color w:val="000000"/>
          <w:sz w:val="18"/>
        </w:rPr>
        <w:tab/>
      </w:r>
      <w:proofErr w:type="spellStart"/>
      <w:r>
        <w:rPr>
          <w:color w:val="000000"/>
          <w:sz w:val="18"/>
        </w:rPr>
        <w:t>Amara</w:t>
      </w:r>
      <w:proofErr w:type="spellEnd"/>
      <w:r>
        <w:rPr>
          <w:color w:val="000000"/>
          <w:sz w:val="18"/>
        </w:rPr>
        <w:t xml:space="preserve"> Y, </w:t>
      </w:r>
      <w:proofErr w:type="spellStart"/>
      <w:r>
        <w:rPr>
          <w:color w:val="000000"/>
          <w:sz w:val="18"/>
        </w:rPr>
        <w:t>Vido</w:t>
      </w:r>
      <w:proofErr w:type="spellEnd"/>
      <w:r>
        <w:rPr>
          <w:color w:val="000000"/>
          <w:sz w:val="18"/>
        </w:rPr>
        <w:t xml:space="preserve"> L, </w:t>
      </w:r>
      <w:proofErr w:type="spellStart"/>
      <w:r>
        <w:rPr>
          <w:color w:val="000000"/>
          <w:sz w:val="18"/>
        </w:rPr>
        <w:t>Gabsi</w:t>
      </w:r>
      <w:proofErr w:type="spellEnd"/>
      <w:r>
        <w:rPr>
          <w:color w:val="000000"/>
          <w:sz w:val="18"/>
        </w:rPr>
        <w:t xml:space="preserve"> M, et al. Hybrid excitation synchronous machines: energy-efficient solution for vehicles </w:t>
      </w:r>
      <w:proofErr w:type="gramStart"/>
      <w:r>
        <w:rPr>
          <w:color w:val="000000"/>
          <w:sz w:val="18"/>
        </w:rPr>
        <w:t>propulsion[</w:t>
      </w:r>
      <w:proofErr w:type="gramEnd"/>
      <w:r>
        <w:rPr>
          <w:color w:val="000000"/>
          <w:sz w:val="18"/>
        </w:rPr>
        <w:t>J]. IEEE Transactions on Vehicular Technology, 2009, 58(5): 2137-2149.</w:t>
      </w:r>
    </w:p>
    <w:p w:rsidR="00054332" w:rsidRDefault="00054332" w:rsidP="00054332">
      <w:pPr>
        <w:ind w:left="448" w:hanging="448"/>
        <w:rPr>
          <w:color w:val="000000"/>
          <w:sz w:val="18"/>
        </w:rPr>
      </w:pPr>
      <w:r>
        <w:rPr>
          <w:color w:val="000000"/>
          <w:sz w:val="18"/>
        </w:rPr>
        <w:t>[13]</w:t>
      </w:r>
      <w:r>
        <w:rPr>
          <w:color w:val="000000"/>
          <w:sz w:val="18"/>
        </w:rPr>
        <w:tab/>
        <w:t xml:space="preserve">Bianchi N, </w:t>
      </w:r>
      <w:proofErr w:type="spellStart"/>
      <w:r>
        <w:rPr>
          <w:color w:val="000000"/>
          <w:sz w:val="18"/>
        </w:rPr>
        <w:t>Bolognani</w:t>
      </w:r>
      <w:proofErr w:type="spellEnd"/>
      <w:r>
        <w:rPr>
          <w:color w:val="000000"/>
          <w:sz w:val="18"/>
        </w:rPr>
        <w:t xml:space="preserve"> S. Magnetic models of saturated interior permanent magnet motors based on finite element analysis[C]//IEEE Industrial App</w:t>
      </w:r>
      <w:r>
        <w:rPr>
          <w:rFonts w:hint="eastAsia"/>
          <w:color w:val="000000"/>
          <w:sz w:val="18"/>
        </w:rPr>
        <w:t xml:space="preserve">- </w:t>
      </w:r>
      <w:proofErr w:type="spellStart"/>
      <w:r>
        <w:rPr>
          <w:color w:val="000000"/>
          <w:sz w:val="18"/>
        </w:rPr>
        <w:t>lication</w:t>
      </w:r>
      <w:proofErr w:type="spellEnd"/>
      <w:r>
        <w:rPr>
          <w:color w:val="000000"/>
          <w:sz w:val="18"/>
        </w:rPr>
        <w:t xml:space="preserve"> Conference, St. Louis, MO, USA,</w:t>
      </w:r>
      <w:r>
        <w:rPr>
          <w:rFonts w:hint="eastAsia"/>
          <w:color w:val="000000"/>
          <w:sz w:val="18"/>
        </w:rPr>
        <w:t xml:space="preserve"> </w:t>
      </w:r>
      <w:r>
        <w:rPr>
          <w:color w:val="000000"/>
          <w:sz w:val="18"/>
        </w:rPr>
        <w:t>1998: 27-</w:t>
      </w:r>
      <w:r>
        <w:rPr>
          <w:rFonts w:hint="eastAsia"/>
          <w:color w:val="000000"/>
          <w:sz w:val="18"/>
        </w:rPr>
        <w:t xml:space="preserve"> </w:t>
      </w:r>
      <w:r>
        <w:rPr>
          <w:color w:val="000000"/>
          <w:sz w:val="18"/>
        </w:rPr>
        <w:t>34.</w:t>
      </w:r>
    </w:p>
    <w:p w:rsidR="00054332" w:rsidRDefault="00054332" w:rsidP="00054332">
      <w:pPr>
        <w:ind w:left="448" w:hanging="448"/>
        <w:rPr>
          <w:color w:val="000000"/>
          <w:sz w:val="18"/>
        </w:rPr>
      </w:pPr>
      <w:r>
        <w:rPr>
          <w:color w:val="000000"/>
          <w:sz w:val="18"/>
        </w:rPr>
        <w:t>[14]</w:t>
      </w:r>
      <w:r>
        <w:rPr>
          <w:color w:val="000000"/>
          <w:sz w:val="18"/>
        </w:rPr>
        <w:tab/>
        <w:t xml:space="preserve">Williamson S, Knight A M. Performance of skewed single-phase line-start permanent magnet </w:t>
      </w:r>
      <w:proofErr w:type="gramStart"/>
      <w:r>
        <w:rPr>
          <w:color w:val="000000"/>
          <w:sz w:val="18"/>
        </w:rPr>
        <w:t>motors[</w:t>
      </w:r>
      <w:proofErr w:type="gramEnd"/>
      <w:r>
        <w:rPr>
          <w:color w:val="000000"/>
          <w:sz w:val="18"/>
        </w:rPr>
        <w:t>J]. IEEE Transactions on Industry Applications, 1999, 35(3): 577-582.</w:t>
      </w:r>
    </w:p>
    <w:p w:rsidR="00054332" w:rsidRDefault="00054332" w:rsidP="00054332">
      <w:pPr>
        <w:ind w:left="448" w:hanging="448"/>
        <w:rPr>
          <w:color w:val="000000"/>
          <w:sz w:val="18"/>
        </w:rPr>
      </w:pPr>
      <w:r>
        <w:rPr>
          <w:color w:val="000000"/>
          <w:sz w:val="18"/>
        </w:rPr>
        <w:t>[15]</w:t>
      </w:r>
      <w:r>
        <w:rPr>
          <w:color w:val="000000"/>
          <w:sz w:val="18"/>
        </w:rPr>
        <w:tab/>
        <w:t>Kang G H, Hong J P, Kim G T, et al. Improved parameter modeling of interior permanent magnet synchronous motor based on finite element analysis[J]. IEEE Transactions on Magnetics, 2000, 36(4): 1867-</w:t>
      </w:r>
      <w:r>
        <w:rPr>
          <w:rFonts w:hint="eastAsia"/>
          <w:color w:val="000000"/>
          <w:sz w:val="18"/>
        </w:rPr>
        <w:t xml:space="preserve"> </w:t>
      </w:r>
      <w:r>
        <w:rPr>
          <w:color w:val="000000"/>
          <w:sz w:val="18"/>
        </w:rPr>
        <w:t>1870.</w:t>
      </w:r>
    </w:p>
    <w:p w:rsidR="00054332" w:rsidRDefault="00054332" w:rsidP="00054332">
      <w:pPr>
        <w:ind w:left="448" w:hanging="448"/>
        <w:rPr>
          <w:color w:val="000000"/>
          <w:sz w:val="18"/>
        </w:rPr>
      </w:pPr>
      <w:r>
        <w:rPr>
          <w:color w:val="000000"/>
          <w:sz w:val="18"/>
        </w:rPr>
        <w:t>[16]</w:t>
      </w:r>
      <w:r>
        <w:rPr>
          <w:color w:val="000000"/>
          <w:sz w:val="18"/>
        </w:rPr>
        <w:tab/>
      </w:r>
      <w:proofErr w:type="spellStart"/>
      <w:r>
        <w:rPr>
          <w:color w:val="000000"/>
          <w:sz w:val="18"/>
        </w:rPr>
        <w:t>Hu</w:t>
      </w:r>
      <w:proofErr w:type="spellEnd"/>
      <w:r>
        <w:rPr>
          <w:color w:val="000000"/>
          <w:sz w:val="18"/>
        </w:rPr>
        <w:t xml:space="preserve"> J, </w:t>
      </w:r>
      <w:proofErr w:type="spellStart"/>
      <w:r>
        <w:rPr>
          <w:color w:val="000000"/>
          <w:sz w:val="18"/>
        </w:rPr>
        <w:t>Zou</w:t>
      </w:r>
      <w:proofErr w:type="spellEnd"/>
      <w:r>
        <w:rPr>
          <w:color w:val="000000"/>
          <w:sz w:val="18"/>
        </w:rPr>
        <w:t xml:space="preserve"> J, Liang W. Finite element calculation of the saturation </w:t>
      </w:r>
      <w:proofErr w:type="spellStart"/>
      <w:r>
        <w:rPr>
          <w:color w:val="000000"/>
          <w:sz w:val="18"/>
        </w:rPr>
        <w:t>dq</w:t>
      </w:r>
      <w:proofErr w:type="spellEnd"/>
      <w:r>
        <w:rPr>
          <w:color w:val="000000"/>
          <w:sz w:val="18"/>
        </w:rPr>
        <w:t>-axes inductance for a direct drive PM synchronous motor considering cross-</w:t>
      </w:r>
      <w:proofErr w:type="spellStart"/>
      <w:r>
        <w:rPr>
          <w:color w:val="000000"/>
          <w:sz w:val="18"/>
        </w:rPr>
        <w:t>magneti</w:t>
      </w:r>
      <w:proofErr w:type="spellEnd"/>
      <w:r>
        <w:rPr>
          <w:rFonts w:hint="eastAsia"/>
          <w:color w:val="000000"/>
          <w:sz w:val="18"/>
        </w:rPr>
        <w:t xml:space="preserve">- </w:t>
      </w:r>
      <w:proofErr w:type="spellStart"/>
      <w:r>
        <w:rPr>
          <w:color w:val="000000"/>
          <w:sz w:val="18"/>
        </w:rPr>
        <w:t>zation</w:t>
      </w:r>
      <w:proofErr w:type="spellEnd"/>
      <w:r>
        <w:rPr>
          <w:color w:val="000000"/>
          <w:sz w:val="18"/>
        </w:rPr>
        <w:t xml:space="preserve">[C]//International Conference on Power </w:t>
      </w:r>
      <w:proofErr w:type="spellStart"/>
      <w:r>
        <w:rPr>
          <w:color w:val="000000"/>
          <w:sz w:val="18"/>
        </w:rPr>
        <w:t>Elec</w:t>
      </w:r>
      <w:proofErr w:type="spellEnd"/>
      <w:r>
        <w:rPr>
          <w:rFonts w:hint="eastAsia"/>
          <w:color w:val="000000"/>
          <w:sz w:val="18"/>
        </w:rPr>
        <w:t xml:space="preserve">- </w:t>
      </w:r>
      <w:proofErr w:type="spellStart"/>
      <w:r>
        <w:rPr>
          <w:color w:val="000000"/>
          <w:sz w:val="18"/>
        </w:rPr>
        <w:t>tronics</w:t>
      </w:r>
      <w:proofErr w:type="spellEnd"/>
      <w:r>
        <w:rPr>
          <w:color w:val="000000"/>
          <w:sz w:val="18"/>
        </w:rPr>
        <w:t xml:space="preserve"> and Drive Systems, 2003: 677-681.</w:t>
      </w:r>
    </w:p>
    <w:p w:rsidR="00054332" w:rsidRDefault="00054332" w:rsidP="00054332">
      <w:pPr>
        <w:ind w:left="448" w:hanging="448"/>
        <w:rPr>
          <w:color w:val="000000"/>
          <w:sz w:val="18"/>
        </w:rPr>
      </w:pPr>
      <w:r>
        <w:rPr>
          <w:color w:val="000000"/>
          <w:sz w:val="18"/>
        </w:rPr>
        <w:t>[17]</w:t>
      </w:r>
      <w:r>
        <w:rPr>
          <w:color w:val="000000"/>
          <w:sz w:val="18"/>
        </w:rPr>
        <w:tab/>
        <w:t xml:space="preserve">Walker J A, </w:t>
      </w:r>
      <w:proofErr w:type="spellStart"/>
      <w:r>
        <w:rPr>
          <w:color w:val="000000"/>
          <w:sz w:val="18"/>
        </w:rPr>
        <w:t>Dorrell</w:t>
      </w:r>
      <w:proofErr w:type="spellEnd"/>
      <w:r>
        <w:rPr>
          <w:color w:val="000000"/>
          <w:sz w:val="18"/>
        </w:rPr>
        <w:t xml:space="preserve"> D G, </w:t>
      </w:r>
      <w:proofErr w:type="spellStart"/>
      <w:r>
        <w:rPr>
          <w:color w:val="000000"/>
          <w:sz w:val="18"/>
        </w:rPr>
        <w:t>Cossar</w:t>
      </w:r>
      <w:proofErr w:type="spellEnd"/>
      <w:r>
        <w:rPr>
          <w:color w:val="000000"/>
          <w:sz w:val="18"/>
        </w:rPr>
        <w:t xml:space="preserve"> C. Effect of mutual coupling on torque production in switched reluctance </w:t>
      </w:r>
      <w:proofErr w:type="gramStart"/>
      <w:r>
        <w:rPr>
          <w:color w:val="000000"/>
          <w:sz w:val="18"/>
        </w:rPr>
        <w:t>motors[</w:t>
      </w:r>
      <w:proofErr w:type="gramEnd"/>
      <w:r>
        <w:rPr>
          <w:color w:val="000000"/>
          <w:sz w:val="18"/>
        </w:rPr>
        <w:t xml:space="preserve">J]. Journal of Applied Physics, 2006, 99(10): </w:t>
      </w:r>
      <w:proofErr w:type="gramStart"/>
      <w:r>
        <w:rPr>
          <w:color w:val="000000"/>
          <w:sz w:val="18"/>
        </w:rPr>
        <w:t>08R304(</w:t>
      </w:r>
      <w:proofErr w:type="gramEnd"/>
      <w:r>
        <w:rPr>
          <w:color w:val="000000"/>
          <w:sz w:val="18"/>
        </w:rPr>
        <w:t>1-3</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[18]</w:t>
      </w:r>
      <w:r>
        <w:rPr>
          <w:color w:val="000000"/>
          <w:sz w:val="18"/>
        </w:rPr>
        <w:tab/>
        <w:t xml:space="preserve">Walker J A, </w:t>
      </w:r>
      <w:proofErr w:type="spellStart"/>
      <w:r>
        <w:rPr>
          <w:color w:val="000000"/>
          <w:sz w:val="18"/>
        </w:rPr>
        <w:t>Dorrell</w:t>
      </w:r>
      <w:proofErr w:type="spellEnd"/>
      <w:r>
        <w:rPr>
          <w:color w:val="000000"/>
          <w:sz w:val="18"/>
        </w:rPr>
        <w:t xml:space="preserve"> D G, </w:t>
      </w:r>
      <w:proofErr w:type="spellStart"/>
      <w:r>
        <w:rPr>
          <w:color w:val="000000"/>
          <w:sz w:val="18"/>
        </w:rPr>
        <w:t>Cossar</w:t>
      </w:r>
      <w:proofErr w:type="spellEnd"/>
      <w:r>
        <w:rPr>
          <w:color w:val="000000"/>
          <w:sz w:val="18"/>
        </w:rPr>
        <w:t xml:space="preserve"> C. Flux-linkage calculation in permanent-magnet motors using the frozen </w:t>
      </w:r>
      <w:proofErr w:type="spellStart"/>
      <w:r>
        <w:rPr>
          <w:color w:val="000000"/>
          <w:sz w:val="18"/>
        </w:rPr>
        <w:t>permeabilities</w:t>
      </w:r>
      <w:proofErr w:type="spellEnd"/>
      <w:r>
        <w:rPr>
          <w:color w:val="000000"/>
          <w:sz w:val="18"/>
        </w:rPr>
        <w:t xml:space="preserve"> method[J]. IEEE Transactions on Magnetics, 2005, 41(10): 3946-3948.</w:t>
      </w:r>
    </w:p>
    <w:p w:rsidR="00054332" w:rsidRDefault="00054332" w:rsidP="00054332">
      <w:pPr>
        <w:ind w:left="448" w:hanging="448"/>
        <w:rPr>
          <w:color w:val="000000"/>
          <w:sz w:val="18"/>
        </w:rPr>
      </w:pPr>
      <w:r>
        <w:rPr>
          <w:color w:val="000000"/>
          <w:sz w:val="18"/>
        </w:rPr>
        <w:t>[19]</w:t>
      </w:r>
      <w:r>
        <w:rPr>
          <w:color w:val="000000"/>
          <w:sz w:val="18"/>
        </w:rPr>
        <w:tab/>
        <w:t xml:space="preserve">Chu W Q. Investigation of torque characteristics of permanent magnet and electrically excited </w:t>
      </w:r>
      <w:proofErr w:type="gramStart"/>
      <w:r>
        <w:rPr>
          <w:color w:val="000000"/>
          <w:sz w:val="18"/>
        </w:rPr>
        <w:t>machines[</w:t>
      </w:r>
      <w:proofErr w:type="gramEnd"/>
      <w:r>
        <w:rPr>
          <w:color w:val="000000"/>
          <w:sz w:val="18"/>
        </w:rPr>
        <w:t>D]. UK: The University of Sheffield, 2013.</w:t>
      </w:r>
    </w:p>
    <w:p w:rsidR="00054332" w:rsidRDefault="00054332" w:rsidP="00054332">
      <w:pPr>
        <w:ind w:left="448" w:hanging="448"/>
        <w:rPr>
          <w:color w:val="000000"/>
          <w:sz w:val="18"/>
        </w:rPr>
      </w:pPr>
      <w:r>
        <w:rPr>
          <w:color w:val="000000"/>
          <w:sz w:val="18"/>
        </w:rPr>
        <w:t>[20]</w:t>
      </w:r>
      <w:r>
        <w:rPr>
          <w:color w:val="000000"/>
          <w:sz w:val="18"/>
        </w:rPr>
        <w:tab/>
      </w:r>
      <w:proofErr w:type="spellStart"/>
      <w:r>
        <w:rPr>
          <w:color w:val="000000"/>
          <w:sz w:val="18"/>
        </w:rPr>
        <w:t>Kwak</w:t>
      </w:r>
      <w:proofErr w:type="spellEnd"/>
      <w:r>
        <w:rPr>
          <w:color w:val="000000"/>
          <w:sz w:val="18"/>
        </w:rPr>
        <w:t xml:space="preserve"> S Y, Kim J K, Jung H K. Characteristic analysis of multilayer-buried magnet synchronous motor using fixed permeability </w:t>
      </w:r>
      <w:proofErr w:type="gramStart"/>
      <w:r>
        <w:rPr>
          <w:color w:val="000000"/>
          <w:sz w:val="18"/>
        </w:rPr>
        <w:t>method[</w:t>
      </w:r>
      <w:proofErr w:type="gramEnd"/>
      <w:r>
        <w:rPr>
          <w:color w:val="000000"/>
          <w:sz w:val="18"/>
        </w:rPr>
        <w:t>J]. IEEE Transactions on Energy Conversion, 2005, 20(3): 549-555.</w:t>
      </w:r>
    </w:p>
    <w:p w:rsidR="00054332" w:rsidRDefault="00054332" w:rsidP="00054332">
      <w:pPr>
        <w:ind w:left="448" w:hanging="448"/>
        <w:rPr>
          <w:color w:val="000000"/>
          <w:sz w:val="18"/>
        </w:rPr>
      </w:pPr>
      <w:r>
        <w:rPr>
          <w:color w:val="000000"/>
          <w:sz w:val="18"/>
        </w:rPr>
        <w:lastRenderedPageBreak/>
        <w:t>[21]</w:t>
      </w:r>
      <w:r>
        <w:rPr>
          <w:color w:val="000000"/>
          <w:sz w:val="18"/>
        </w:rPr>
        <w:tab/>
      </w:r>
      <w:proofErr w:type="spellStart"/>
      <w:r>
        <w:rPr>
          <w:color w:val="000000"/>
          <w:sz w:val="18"/>
        </w:rPr>
        <w:t>Azar</w:t>
      </w:r>
      <w:proofErr w:type="spellEnd"/>
      <w:r>
        <w:rPr>
          <w:color w:val="000000"/>
          <w:sz w:val="18"/>
        </w:rPr>
        <w:t xml:space="preserve"> Z. Electromagnetic performance of fractional slot interior permanent magnet and synchronous reluctance brushless ac machines having non-</w:t>
      </w:r>
      <w:r>
        <w:rPr>
          <w:rFonts w:hint="eastAsia"/>
          <w:color w:val="000000"/>
          <w:sz w:val="18"/>
        </w:rPr>
        <w:t xml:space="preserve"> </w:t>
      </w:r>
      <w:r>
        <w:rPr>
          <w:color w:val="000000"/>
          <w:sz w:val="18"/>
        </w:rPr>
        <w:t xml:space="preserve">overlapping concentrated </w:t>
      </w:r>
      <w:proofErr w:type="gramStart"/>
      <w:r>
        <w:rPr>
          <w:color w:val="000000"/>
          <w:sz w:val="18"/>
        </w:rPr>
        <w:t>windings[</w:t>
      </w:r>
      <w:proofErr w:type="gramEnd"/>
      <w:r>
        <w:rPr>
          <w:color w:val="000000"/>
          <w:sz w:val="18"/>
        </w:rPr>
        <w:t>D]. UK: The University of Sheffield, 2012.</w:t>
      </w:r>
    </w:p>
    <w:p w:rsidR="00054332" w:rsidRDefault="00054332" w:rsidP="00054332">
      <w:pPr>
        <w:ind w:left="448" w:hanging="448"/>
        <w:rPr>
          <w:color w:val="000000"/>
          <w:sz w:val="18"/>
        </w:rPr>
      </w:pPr>
      <w:r>
        <w:rPr>
          <w:color w:val="000000"/>
          <w:sz w:val="18"/>
        </w:rPr>
        <w:t>[22]</w:t>
      </w:r>
      <w:r>
        <w:rPr>
          <w:color w:val="000000"/>
          <w:sz w:val="18"/>
        </w:rPr>
        <w:tab/>
      </w:r>
      <w:proofErr w:type="spellStart"/>
      <w:r>
        <w:rPr>
          <w:color w:val="000000"/>
          <w:sz w:val="18"/>
        </w:rPr>
        <w:t>Azar</w:t>
      </w:r>
      <w:proofErr w:type="spellEnd"/>
      <w:r>
        <w:rPr>
          <w:color w:val="000000"/>
          <w:sz w:val="18"/>
        </w:rPr>
        <w:t xml:space="preserve"> Z, Zhu Z Q, </w:t>
      </w:r>
      <w:proofErr w:type="spellStart"/>
      <w:r>
        <w:rPr>
          <w:color w:val="000000"/>
          <w:sz w:val="18"/>
        </w:rPr>
        <w:t>Ombach</w:t>
      </w:r>
      <w:proofErr w:type="spellEnd"/>
      <w:r>
        <w:rPr>
          <w:color w:val="000000"/>
          <w:sz w:val="18"/>
        </w:rPr>
        <w:t xml:space="preserve"> G. Influence of electric loading and magnetic saturation on cogging torque, back-EMF and torque ripple of PM </w:t>
      </w:r>
      <w:proofErr w:type="gramStart"/>
      <w:r>
        <w:rPr>
          <w:color w:val="000000"/>
          <w:sz w:val="18"/>
        </w:rPr>
        <w:t>machines[</w:t>
      </w:r>
      <w:proofErr w:type="gramEnd"/>
      <w:r>
        <w:rPr>
          <w:color w:val="000000"/>
          <w:sz w:val="18"/>
        </w:rPr>
        <w:t>J]. IEEE Transactions on Magnetics, 2012, 48(10): 2650-2658.</w:t>
      </w:r>
    </w:p>
    <w:p w:rsidR="00054332" w:rsidRDefault="00054332" w:rsidP="00054332">
      <w:pPr>
        <w:ind w:left="448" w:hanging="448"/>
        <w:rPr>
          <w:color w:val="000000"/>
          <w:sz w:val="18"/>
        </w:rPr>
      </w:pPr>
      <w:r>
        <w:rPr>
          <w:color w:val="000000"/>
          <w:sz w:val="18"/>
        </w:rPr>
        <w:t>[23]</w:t>
      </w:r>
      <w:r>
        <w:rPr>
          <w:color w:val="000000"/>
          <w:sz w:val="18"/>
        </w:rPr>
        <w:tab/>
      </w:r>
      <w:proofErr w:type="spellStart"/>
      <w:r>
        <w:rPr>
          <w:color w:val="000000"/>
          <w:sz w:val="18"/>
        </w:rPr>
        <w:t>Alam</w:t>
      </w:r>
      <w:proofErr w:type="spellEnd"/>
      <w:r>
        <w:rPr>
          <w:color w:val="000000"/>
          <w:sz w:val="18"/>
        </w:rPr>
        <w:t xml:space="preserve"> F R, </w:t>
      </w:r>
      <w:proofErr w:type="spellStart"/>
      <w:r>
        <w:rPr>
          <w:color w:val="000000"/>
          <w:sz w:val="18"/>
        </w:rPr>
        <w:t>Abbaszadeh</w:t>
      </w:r>
      <w:proofErr w:type="spellEnd"/>
      <w:r>
        <w:rPr>
          <w:color w:val="000000"/>
          <w:sz w:val="18"/>
        </w:rPr>
        <w:t xml:space="preserve"> K. Magnetic field analysis in eccentric surface-mounted permanent-magnet motors using an improved conformal mapping </w:t>
      </w:r>
      <w:proofErr w:type="gramStart"/>
      <w:r>
        <w:rPr>
          <w:color w:val="000000"/>
          <w:sz w:val="18"/>
        </w:rPr>
        <w:t>method[</w:t>
      </w:r>
      <w:proofErr w:type="gramEnd"/>
      <w:r>
        <w:rPr>
          <w:color w:val="000000"/>
          <w:sz w:val="18"/>
        </w:rPr>
        <w:t>J]. IEEE Transactions on Energy Conversion, 2016, 31(1): 333-344.</w:t>
      </w:r>
    </w:p>
    <w:p w:rsidR="00054332" w:rsidRDefault="00054332" w:rsidP="00054332">
      <w:pPr>
        <w:ind w:left="448" w:hanging="448"/>
        <w:rPr>
          <w:color w:val="000000"/>
          <w:sz w:val="18"/>
        </w:rPr>
      </w:pPr>
      <w:r>
        <w:rPr>
          <w:color w:val="000000"/>
          <w:sz w:val="18"/>
        </w:rPr>
        <w:t>[24]</w:t>
      </w:r>
      <w:r>
        <w:rPr>
          <w:color w:val="000000"/>
          <w:sz w:val="18"/>
        </w:rPr>
        <w:tab/>
        <w:t xml:space="preserve">Schmidt E, </w:t>
      </w:r>
      <w:proofErr w:type="spellStart"/>
      <w:r>
        <w:rPr>
          <w:color w:val="000000"/>
          <w:sz w:val="18"/>
        </w:rPr>
        <w:t>Susic</w:t>
      </w:r>
      <w:proofErr w:type="spellEnd"/>
      <w:r>
        <w:rPr>
          <w:color w:val="000000"/>
          <w:sz w:val="18"/>
        </w:rPr>
        <w:t xml:space="preserve"> M. Parameter evaluation of permanent magnet synchronous machines with tooth coil windings using the frozen </w:t>
      </w:r>
      <w:proofErr w:type="spellStart"/>
      <w:r>
        <w:rPr>
          <w:color w:val="000000"/>
          <w:sz w:val="18"/>
        </w:rPr>
        <w:t>permeabilities</w:t>
      </w:r>
      <w:proofErr w:type="spellEnd"/>
      <w:r>
        <w:rPr>
          <w:color w:val="000000"/>
          <w:sz w:val="18"/>
        </w:rPr>
        <w:t xml:space="preserve"> method with the finite element analyses[C]//IEEE Canadian Conference on Electrical &amp; Computer Engineering, Montreal, QC,</w:t>
      </w:r>
      <w:r>
        <w:rPr>
          <w:rFonts w:hint="eastAsia"/>
          <w:color w:val="000000"/>
          <w:sz w:val="18"/>
        </w:rPr>
        <w:t xml:space="preserve"> </w:t>
      </w:r>
      <w:r>
        <w:rPr>
          <w:color w:val="000000"/>
          <w:sz w:val="18"/>
        </w:rPr>
        <w:t>2012: 1-5.</w:t>
      </w:r>
    </w:p>
    <w:p w:rsidR="00054332" w:rsidRDefault="00054332" w:rsidP="00054332">
      <w:pPr>
        <w:ind w:left="448" w:hanging="448"/>
        <w:rPr>
          <w:color w:val="000000"/>
          <w:sz w:val="18"/>
        </w:rPr>
      </w:pPr>
      <w:r>
        <w:rPr>
          <w:color w:val="000000"/>
          <w:sz w:val="18"/>
        </w:rPr>
        <w:t>[25]</w:t>
      </w:r>
      <w:r>
        <w:rPr>
          <w:color w:val="000000"/>
          <w:sz w:val="18"/>
        </w:rPr>
        <w:tab/>
        <w:t xml:space="preserve">Chen Q, Liu G, Zhao W, et al. Design and comparison </w:t>
      </w:r>
      <w:r>
        <w:rPr>
          <w:rFonts w:ascii="Times" w:hAnsi="Times"/>
          <w:color w:val="000000"/>
          <w:spacing w:val="0"/>
          <w:sz w:val="18"/>
        </w:rPr>
        <w:t xml:space="preserve">of two fault-tolerant interior-permanent-magnet </w:t>
      </w:r>
      <w:proofErr w:type="gramStart"/>
      <w:r>
        <w:rPr>
          <w:rFonts w:ascii="Times" w:hAnsi="Times"/>
          <w:color w:val="000000"/>
          <w:spacing w:val="0"/>
          <w:sz w:val="18"/>
        </w:rPr>
        <w:t>motors[</w:t>
      </w:r>
      <w:proofErr w:type="gramEnd"/>
      <w:r>
        <w:rPr>
          <w:rFonts w:ascii="Times" w:hAnsi="Times"/>
          <w:color w:val="000000"/>
          <w:spacing w:val="0"/>
          <w:sz w:val="18"/>
        </w:rPr>
        <w:t>J].</w:t>
      </w:r>
      <w:r>
        <w:rPr>
          <w:color w:val="000000"/>
          <w:sz w:val="18"/>
        </w:rPr>
        <w:t xml:space="preserve"> IEEE Transactions on Industrial Electronics, 2014, 61(12): 6615-6623.</w:t>
      </w:r>
    </w:p>
    <w:p w:rsidR="00054332" w:rsidRDefault="00054332" w:rsidP="00054332">
      <w:pPr>
        <w:ind w:left="448" w:hanging="448"/>
        <w:rPr>
          <w:color w:val="000000"/>
          <w:sz w:val="18"/>
        </w:rPr>
      </w:pPr>
      <w:r>
        <w:rPr>
          <w:color w:val="000000"/>
          <w:sz w:val="18"/>
        </w:rPr>
        <w:t>[26]</w:t>
      </w:r>
      <w:r>
        <w:rPr>
          <w:color w:val="000000"/>
          <w:sz w:val="18"/>
        </w:rPr>
        <w:tab/>
        <w:t xml:space="preserve">Paula G T D, </w:t>
      </w:r>
      <w:proofErr w:type="spellStart"/>
      <w:r>
        <w:rPr>
          <w:color w:val="000000"/>
          <w:sz w:val="18"/>
        </w:rPr>
        <w:t>Monteiro</w:t>
      </w:r>
      <w:proofErr w:type="spellEnd"/>
      <w:r>
        <w:rPr>
          <w:color w:val="000000"/>
          <w:sz w:val="18"/>
        </w:rPr>
        <w:t xml:space="preserve"> J R B d A, Almeida T E P d, et al. Evaluation of surface mounted PM machine's parameters on load conditions using frozen </w:t>
      </w:r>
      <w:proofErr w:type="spellStart"/>
      <w:r>
        <w:rPr>
          <w:color w:val="000000"/>
          <w:sz w:val="18"/>
        </w:rPr>
        <w:t>permeabi</w:t>
      </w:r>
      <w:proofErr w:type="spellEnd"/>
      <w:r>
        <w:rPr>
          <w:rFonts w:hint="eastAsia"/>
          <w:color w:val="000000"/>
          <w:sz w:val="18"/>
        </w:rPr>
        <w:t xml:space="preserve">- </w:t>
      </w:r>
      <w:proofErr w:type="spellStart"/>
      <w:r>
        <w:rPr>
          <w:color w:val="000000"/>
          <w:sz w:val="18"/>
        </w:rPr>
        <w:t>lity</w:t>
      </w:r>
      <w:proofErr w:type="spellEnd"/>
      <w:r>
        <w:rPr>
          <w:color w:val="000000"/>
          <w:sz w:val="18"/>
        </w:rPr>
        <w:t xml:space="preserve"> method. Part. I[C]//IEEE International Sym</w:t>
      </w:r>
      <w:r>
        <w:rPr>
          <w:rFonts w:hint="eastAsia"/>
          <w:color w:val="000000"/>
          <w:sz w:val="18"/>
        </w:rPr>
        <w:t xml:space="preserve">- </w:t>
      </w:r>
      <w:proofErr w:type="spellStart"/>
      <w:r>
        <w:rPr>
          <w:color w:val="000000"/>
          <w:sz w:val="18"/>
        </w:rPr>
        <w:t>posium</w:t>
      </w:r>
      <w:proofErr w:type="spellEnd"/>
      <w:r>
        <w:rPr>
          <w:color w:val="000000"/>
          <w:sz w:val="18"/>
        </w:rPr>
        <w:t xml:space="preserve"> on Industrial Electronics, Berlin, 2014: 806-811.</w:t>
      </w:r>
    </w:p>
    <w:p w:rsidR="00054332" w:rsidRDefault="00054332" w:rsidP="00054332">
      <w:pPr>
        <w:ind w:left="448" w:hanging="448"/>
        <w:rPr>
          <w:color w:val="000000"/>
          <w:sz w:val="18"/>
        </w:rPr>
      </w:pPr>
      <w:r>
        <w:rPr>
          <w:color w:val="000000"/>
          <w:sz w:val="18"/>
        </w:rPr>
        <w:t>[27]</w:t>
      </w:r>
      <w:r>
        <w:rPr>
          <w:color w:val="000000"/>
          <w:sz w:val="18"/>
        </w:rPr>
        <w:tab/>
        <w:t xml:space="preserve">Wang Q, Zhao B, </w:t>
      </w:r>
      <w:proofErr w:type="spellStart"/>
      <w:r>
        <w:rPr>
          <w:color w:val="000000"/>
          <w:sz w:val="18"/>
        </w:rPr>
        <w:t>Xu</w:t>
      </w:r>
      <w:proofErr w:type="spellEnd"/>
      <w:r>
        <w:rPr>
          <w:color w:val="000000"/>
          <w:sz w:val="18"/>
        </w:rPr>
        <w:t xml:space="preserve"> Y, e</w:t>
      </w:r>
      <w:r>
        <w:rPr>
          <w:rFonts w:hint="eastAsia"/>
          <w:color w:val="000000"/>
          <w:sz w:val="18"/>
        </w:rPr>
        <w:t>t</w:t>
      </w:r>
      <w:r>
        <w:rPr>
          <w:color w:val="000000"/>
          <w:sz w:val="18"/>
        </w:rPr>
        <w:t xml:space="preserve"> a</w:t>
      </w:r>
      <w:r>
        <w:rPr>
          <w:rFonts w:hint="eastAsia"/>
          <w:color w:val="000000"/>
          <w:sz w:val="18"/>
        </w:rPr>
        <w:t>l</w:t>
      </w:r>
      <w:r>
        <w:rPr>
          <w:color w:val="000000"/>
          <w:sz w:val="18"/>
        </w:rPr>
        <w:t>. Inductances and phase coupling analysis of tubular permanent magnet machines with transverse flux configuration[</w:t>
      </w:r>
      <w:r>
        <w:rPr>
          <w:rFonts w:hint="eastAsia"/>
          <w:color w:val="000000"/>
          <w:sz w:val="18"/>
        </w:rPr>
        <w:t>C</w:t>
      </w:r>
      <w:r>
        <w:rPr>
          <w:color w:val="000000"/>
          <w:sz w:val="18"/>
        </w:rPr>
        <w:t>]</w:t>
      </w:r>
      <w:r>
        <w:rPr>
          <w:rFonts w:hint="eastAsia"/>
          <w:color w:val="000000"/>
          <w:sz w:val="18"/>
        </w:rPr>
        <w:t>// International Symposium on Electromagnetic Launch Technology, 2014: 1-5.</w:t>
      </w:r>
    </w:p>
    <w:p w:rsidR="00054332" w:rsidRDefault="00054332" w:rsidP="00054332">
      <w:pPr>
        <w:ind w:left="448" w:hanging="448"/>
        <w:rPr>
          <w:color w:val="000000"/>
          <w:sz w:val="18"/>
        </w:rPr>
      </w:pPr>
      <w:r>
        <w:rPr>
          <w:color w:val="000000"/>
          <w:sz w:val="18"/>
        </w:rPr>
        <w:t>[28]</w:t>
      </w:r>
      <w:r>
        <w:rPr>
          <w:color w:val="000000"/>
          <w:sz w:val="18"/>
        </w:rPr>
        <w:tab/>
        <w:t xml:space="preserve">Wang Q, Zhao B, Zhang J, et al. Inductances and phase coupling analysis of tubular permanent magnet machines with transverse flux </w:t>
      </w:r>
      <w:proofErr w:type="gramStart"/>
      <w:r>
        <w:rPr>
          <w:color w:val="000000"/>
          <w:sz w:val="18"/>
        </w:rPr>
        <w:t>configuration[</w:t>
      </w:r>
      <w:proofErr w:type="gramEnd"/>
      <w:r>
        <w:rPr>
          <w:color w:val="000000"/>
          <w:sz w:val="18"/>
        </w:rPr>
        <w:t>J]. IEEE Transaction</w:t>
      </w:r>
      <w:r>
        <w:rPr>
          <w:rFonts w:hint="eastAsia"/>
          <w:color w:val="000000"/>
          <w:sz w:val="18"/>
        </w:rPr>
        <w:t>s</w:t>
      </w:r>
      <w:r>
        <w:rPr>
          <w:color w:val="000000"/>
          <w:sz w:val="18"/>
        </w:rPr>
        <w:t xml:space="preserve"> on Plasma Science, 2015, 43(5): 1232-</w:t>
      </w:r>
      <w:r>
        <w:rPr>
          <w:rFonts w:hint="eastAsia"/>
          <w:color w:val="000000"/>
          <w:sz w:val="18"/>
        </w:rPr>
        <w:t xml:space="preserve"> </w:t>
      </w:r>
      <w:r>
        <w:rPr>
          <w:color w:val="000000"/>
          <w:sz w:val="18"/>
        </w:rPr>
        <w:t>1235.</w:t>
      </w:r>
    </w:p>
    <w:p w:rsidR="00054332" w:rsidRDefault="00054332" w:rsidP="00054332">
      <w:pPr>
        <w:ind w:left="448" w:hanging="448"/>
        <w:rPr>
          <w:color w:val="000000"/>
          <w:sz w:val="18"/>
        </w:rPr>
      </w:pPr>
      <w:r>
        <w:rPr>
          <w:color w:val="000000"/>
          <w:sz w:val="18"/>
        </w:rPr>
        <w:t>[29]</w:t>
      </w:r>
      <w:r>
        <w:rPr>
          <w:color w:val="000000"/>
          <w:sz w:val="18"/>
        </w:rPr>
        <w:tab/>
        <w:t xml:space="preserve">Sun A, Li J, </w:t>
      </w:r>
      <w:proofErr w:type="spellStart"/>
      <w:r>
        <w:rPr>
          <w:color w:val="000000"/>
          <w:sz w:val="18"/>
        </w:rPr>
        <w:t>Qu</w:t>
      </w:r>
      <w:proofErr w:type="spellEnd"/>
      <w:r>
        <w:rPr>
          <w:color w:val="000000"/>
          <w:sz w:val="18"/>
        </w:rPr>
        <w:t xml:space="preserve"> R. Inductance calculation in variable-flux flux-intensifying permanent magnet synchronous machines using improved frozen per</w:t>
      </w:r>
      <w:r>
        <w:rPr>
          <w:rFonts w:hint="eastAsia"/>
          <w:color w:val="000000"/>
          <w:sz w:val="18"/>
        </w:rPr>
        <w:t xml:space="preserve">- </w:t>
      </w:r>
      <w:proofErr w:type="spellStart"/>
      <w:r>
        <w:rPr>
          <w:color w:val="000000"/>
          <w:sz w:val="18"/>
        </w:rPr>
        <w:t>meability</w:t>
      </w:r>
      <w:proofErr w:type="spellEnd"/>
      <w:r>
        <w:rPr>
          <w:color w:val="000000"/>
          <w:sz w:val="18"/>
        </w:rPr>
        <w:t xml:space="preserve"> method[C]//IEEE Magnetics Conference, </w:t>
      </w:r>
      <w:r>
        <w:rPr>
          <w:color w:val="000000"/>
          <w:sz w:val="18"/>
        </w:rPr>
        <w:lastRenderedPageBreak/>
        <w:t>Beijing, 2015: 1-1.</w:t>
      </w:r>
    </w:p>
    <w:p w:rsidR="00054332" w:rsidRDefault="00054332" w:rsidP="00054332">
      <w:pPr>
        <w:ind w:left="448" w:hanging="448"/>
        <w:rPr>
          <w:color w:val="000000"/>
          <w:sz w:val="18"/>
        </w:rPr>
      </w:pPr>
      <w:r>
        <w:rPr>
          <w:color w:val="000000"/>
          <w:sz w:val="18"/>
        </w:rPr>
        <w:t>[30]</w:t>
      </w:r>
      <w:r>
        <w:rPr>
          <w:color w:val="000000"/>
          <w:sz w:val="18"/>
        </w:rPr>
        <w:tab/>
      </w:r>
      <w:proofErr w:type="spellStart"/>
      <w:r>
        <w:rPr>
          <w:color w:val="000000"/>
          <w:sz w:val="18"/>
        </w:rPr>
        <w:t>Afinowi</w:t>
      </w:r>
      <w:proofErr w:type="spellEnd"/>
      <w:r>
        <w:rPr>
          <w:color w:val="000000"/>
          <w:sz w:val="18"/>
        </w:rPr>
        <w:t xml:space="preserve"> I, Zhu Z Q, Guan Y, et al. Electromagnetic performance of stator slot permanent magnet machines with/without stator tooth-tips and having single/double layer </w:t>
      </w:r>
      <w:proofErr w:type="gramStart"/>
      <w:r>
        <w:rPr>
          <w:color w:val="000000"/>
          <w:sz w:val="18"/>
        </w:rPr>
        <w:t>windings[</w:t>
      </w:r>
      <w:proofErr w:type="gramEnd"/>
      <w:r>
        <w:rPr>
          <w:color w:val="000000"/>
          <w:sz w:val="18"/>
        </w:rPr>
        <w:t xml:space="preserve">J]. IEEE Transactions on Magnetics, 2016, </w:t>
      </w:r>
      <w:r>
        <w:rPr>
          <w:rFonts w:hint="eastAsia"/>
          <w:color w:val="000000"/>
          <w:sz w:val="18"/>
        </w:rPr>
        <w:t>52(6): 8103410</w:t>
      </w:r>
      <w:r>
        <w:rPr>
          <w:color w:val="000000"/>
          <w:sz w:val="18"/>
        </w:rPr>
        <w:t>.</w:t>
      </w:r>
    </w:p>
    <w:p w:rsidR="00054332" w:rsidRDefault="00054332" w:rsidP="00054332">
      <w:pPr>
        <w:ind w:left="448" w:hanging="448"/>
        <w:rPr>
          <w:color w:val="000000"/>
          <w:sz w:val="18"/>
        </w:rPr>
      </w:pPr>
      <w:r>
        <w:rPr>
          <w:color w:val="000000"/>
          <w:sz w:val="18"/>
        </w:rPr>
        <w:t>[31]</w:t>
      </w:r>
      <w:r>
        <w:rPr>
          <w:color w:val="000000"/>
          <w:sz w:val="18"/>
        </w:rPr>
        <w:tab/>
        <w:t xml:space="preserve">Kim D, Hwang H, </w:t>
      </w:r>
      <w:proofErr w:type="spellStart"/>
      <w:r>
        <w:rPr>
          <w:color w:val="000000"/>
          <w:sz w:val="18"/>
        </w:rPr>
        <w:t>Bae</w:t>
      </w:r>
      <w:proofErr w:type="spellEnd"/>
      <w:r>
        <w:rPr>
          <w:color w:val="000000"/>
          <w:sz w:val="18"/>
        </w:rPr>
        <w:t xml:space="preserve"> S, et al. Analysis and design of a double-stator flux-switching permanent magnet machine using ferrite magnet in hybrid electric </w:t>
      </w:r>
      <w:proofErr w:type="gramStart"/>
      <w:r>
        <w:rPr>
          <w:color w:val="000000"/>
          <w:sz w:val="18"/>
        </w:rPr>
        <w:t>vehicles[</w:t>
      </w:r>
      <w:proofErr w:type="gramEnd"/>
      <w:r>
        <w:rPr>
          <w:color w:val="000000"/>
          <w:sz w:val="18"/>
        </w:rPr>
        <w:t xml:space="preserve">J]. IEEE Transactions on Magnetics, 2016, </w:t>
      </w:r>
      <w:r>
        <w:rPr>
          <w:rFonts w:hint="eastAsia"/>
          <w:color w:val="000000"/>
          <w:sz w:val="18"/>
        </w:rPr>
        <w:t>52(7): 8106604</w:t>
      </w:r>
      <w:r>
        <w:rPr>
          <w:color w:val="000000"/>
          <w:sz w:val="18"/>
        </w:rPr>
        <w:t>.</w:t>
      </w:r>
    </w:p>
    <w:p w:rsidR="00054332" w:rsidRDefault="00054332" w:rsidP="00054332">
      <w:pPr>
        <w:ind w:left="448" w:hanging="448"/>
        <w:rPr>
          <w:color w:val="000000"/>
          <w:sz w:val="18"/>
        </w:rPr>
      </w:pPr>
      <w:r>
        <w:rPr>
          <w:color w:val="000000"/>
          <w:sz w:val="18"/>
        </w:rPr>
        <w:t>[32]</w:t>
      </w:r>
      <w:r>
        <w:rPr>
          <w:color w:val="000000"/>
          <w:sz w:val="18"/>
        </w:rPr>
        <w:tab/>
        <w:t xml:space="preserve">Bianchi N, </w:t>
      </w:r>
      <w:proofErr w:type="spellStart"/>
      <w:r>
        <w:rPr>
          <w:color w:val="000000"/>
          <w:sz w:val="18"/>
        </w:rPr>
        <w:t>Alberti</w:t>
      </w:r>
      <w:proofErr w:type="spellEnd"/>
      <w:r>
        <w:rPr>
          <w:color w:val="000000"/>
          <w:sz w:val="18"/>
        </w:rPr>
        <w:t xml:space="preserve"> L. MMF harmonics effect on the embedded FE analytical computation of PM </w:t>
      </w:r>
      <w:proofErr w:type="gramStart"/>
      <w:r>
        <w:rPr>
          <w:color w:val="000000"/>
          <w:sz w:val="18"/>
        </w:rPr>
        <w:t>motors[</w:t>
      </w:r>
      <w:proofErr w:type="gramEnd"/>
      <w:r>
        <w:rPr>
          <w:color w:val="000000"/>
          <w:sz w:val="18"/>
        </w:rPr>
        <w:t>J].  IEEE Transactions on Industry Applications, 2010, 46(2): 812-820.</w:t>
      </w:r>
    </w:p>
    <w:p w:rsidR="00054332" w:rsidRDefault="00054332" w:rsidP="00054332">
      <w:pPr>
        <w:ind w:left="448" w:hanging="448"/>
        <w:rPr>
          <w:color w:val="000000"/>
          <w:sz w:val="18"/>
        </w:rPr>
      </w:pPr>
      <w:r>
        <w:rPr>
          <w:color w:val="000000"/>
          <w:sz w:val="18"/>
        </w:rPr>
        <w:t>[33]</w:t>
      </w:r>
      <w:r>
        <w:rPr>
          <w:color w:val="000000"/>
          <w:sz w:val="18"/>
        </w:rPr>
        <w:tab/>
        <w:t xml:space="preserve">Chu W Q, Zhu Z Q. Average torque separation in permanent magnet synchronous machines using frozen </w:t>
      </w:r>
      <w:proofErr w:type="gramStart"/>
      <w:r>
        <w:rPr>
          <w:color w:val="000000"/>
          <w:sz w:val="18"/>
        </w:rPr>
        <w:t>permeability[</w:t>
      </w:r>
      <w:proofErr w:type="gramEnd"/>
      <w:r>
        <w:rPr>
          <w:color w:val="000000"/>
          <w:sz w:val="18"/>
        </w:rPr>
        <w:t xml:space="preserve">J]. IEEE Transactions on </w:t>
      </w:r>
      <w:proofErr w:type="spellStart"/>
      <w:r>
        <w:rPr>
          <w:color w:val="000000"/>
          <w:sz w:val="18"/>
        </w:rPr>
        <w:t>Mag</w:t>
      </w:r>
      <w:proofErr w:type="spellEnd"/>
      <w:r>
        <w:rPr>
          <w:rFonts w:hint="eastAsia"/>
          <w:color w:val="000000"/>
          <w:sz w:val="18"/>
        </w:rPr>
        <w:t xml:space="preserve">- </w:t>
      </w:r>
      <w:proofErr w:type="spellStart"/>
      <w:r>
        <w:rPr>
          <w:color w:val="000000"/>
          <w:sz w:val="18"/>
        </w:rPr>
        <w:t>netics</w:t>
      </w:r>
      <w:proofErr w:type="spellEnd"/>
      <w:r>
        <w:rPr>
          <w:color w:val="000000"/>
          <w:sz w:val="18"/>
        </w:rPr>
        <w:t>, 2013, 49(3): 1202-1210.</w:t>
      </w:r>
    </w:p>
    <w:p w:rsidR="00054332" w:rsidRDefault="00054332" w:rsidP="00054332">
      <w:pPr>
        <w:ind w:left="448" w:hanging="448"/>
        <w:rPr>
          <w:color w:val="000000"/>
          <w:sz w:val="18"/>
        </w:rPr>
      </w:pPr>
      <w:r>
        <w:rPr>
          <w:color w:val="000000"/>
          <w:sz w:val="18"/>
        </w:rPr>
        <w:t>[34]</w:t>
      </w:r>
      <w:r>
        <w:rPr>
          <w:color w:val="000000"/>
          <w:sz w:val="18"/>
        </w:rPr>
        <w:tab/>
      </w:r>
      <w:proofErr w:type="spellStart"/>
      <w:r>
        <w:rPr>
          <w:color w:val="000000"/>
          <w:sz w:val="18"/>
        </w:rPr>
        <w:t>Ionel</w:t>
      </w:r>
      <w:proofErr w:type="spellEnd"/>
      <w:r>
        <w:rPr>
          <w:color w:val="000000"/>
          <w:sz w:val="18"/>
        </w:rPr>
        <w:t xml:space="preserve"> D M, </w:t>
      </w:r>
      <w:proofErr w:type="spellStart"/>
      <w:r>
        <w:rPr>
          <w:color w:val="000000"/>
          <w:sz w:val="18"/>
        </w:rPr>
        <w:t>Popescu</w:t>
      </w:r>
      <w:proofErr w:type="spellEnd"/>
      <w:r>
        <w:rPr>
          <w:color w:val="000000"/>
          <w:sz w:val="18"/>
        </w:rPr>
        <w:t xml:space="preserve"> M, </w:t>
      </w:r>
      <w:proofErr w:type="spellStart"/>
      <w:r>
        <w:rPr>
          <w:color w:val="000000"/>
          <w:sz w:val="18"/>
        </w:rPr>
        <w:t>McGilp</w:t>
      </w:r>
      <w:proofErr w:type="spellEnd"/>
      <w:r>
        <w:rPr>
          <w:color w:val="000000"/>
          <w:sz w:val="18"/>
        </w:rPr>
        <w:t xml:space="preserve"> M I, et al. Assessment of torque components in brushless permanent-magnet machines through numerical analysis of the </w:t>
      </w:r>
      <w:proofErr w:type="spellStart"/>
      <w:r>
        <w:rPr>
          <w:color w:val="000000"/>
          <w:sz w:val="18"/>
        </w:rPr>
        <w:t>elec</w:t>
      </w:r>
      <w:proofErr w:type="spellEnd"/>
      <w:r>
        <w:rPr>
          <w:rFonts w:hint="eastAsia"/>
          <w:color w:val="000000"/>
          <w:sz w:val="18"/>
        </w:rPr>
        <w:t xml:space="preserve">- </w:t>
      </w:r>
      <w:proofErr w:type="spellStart"/>
      <w:r>
        <w:rPr>
          <w:color w:val="000000"/>
          <w:sz w:val="18"/>
        </w:rPr>
        <w:t>tromagnetic</w:t>
      </w:r>
      <w:proofErr w:type="spellEnd"/>
      <w:r>
        <w:rPr>
          <w:color w:val="000000"/>
          <w:sz w:val="18"/>
        </w:rPr>
        <w:t xml:space="preserve"> field[J]. IEEE Transactions on Industry Applications, 2005, 41(5): 1149-1158. </w:t>
      </w:r>
    </w:p>
    <w:p w:rsidR="00054332" w:rsidRDefault="00054332" w:rsidP="00054332">
      <w:pPr>
        <w:ind w:left="448" w:hanging="448"/>
        <w:rPr>
          <w:color w:val="000000"/>
          <w:sz w:val="18"/>
        </w:rPr>
      </w:pPr>
      <w:r>
        <w:rPr>
          <w:color w:val="000000"/>
          <w:sz w:val="18"/>
        </w:rPr>
        <w:t>[35]</w:t>
      </w:r>
      <w:r>
        <w:rPr>
          <w:color w:val="000000"/>
          <w:sz w:val="18"/>
        </w:rPr>
        <w:tab/>
      </w:r>
      <w:proofErr w:type="spellStart"/>
      <w:r>
        <w:rPr>
          <w:color w:val="000000"/>
          <w:sz w:val="18"/>
        </w:rPr>
        <w:t>Abbaszadeh</w:t>
      </w:r>
      <w:proofErr w:type="spellEnd"/>
      <w:r>
        <w:rPr>
          <w:color w:val="000000"/>
          <w:sz w:val="18"/>
        </w:rPr>
        <w:t xml:space="preserve"> K</w:t>
      </w:r>
      <w:r>
        <w:rPr>
          <w:rFonts w:hint="eastAsia"/>
          <w:color w:val="000000"/>
          <w:sz w:val="18"/>
        </w:rPr>
        <w:t>,</w:t>
      </w:r>
      <w:r>
        <w:rPr>
          <w:color w:val="000000"/>
          <w:sz w:val="18"/>
        </w:rPr>
        <w:t xml:space="preserve"> </w:t>
      </w:r>
      <w:proofErr w:type="spellStart"/>
      <w:r>
        <w:rPr>
          <w:color w:val="000000"/>
          <w:sz w:val="18"/>
        </w:rPr>
        <w:t>Alam</w:t>
      </w:r>
      <w:proofErr w:type="spellEnd"/>
      <w:r>
        <w:rPr>
          <w:color w:val="000000"/>
          <w:sz w:val="18"/>
        </w:rPr>
        <w:t xml:space="preserve"> F R. On-load field component separation in surface-mounted permanent-</w:t>
      </w:r>
      <w:r>
        <w:rPr>
          <w:rFonts w:hint="eastAsia"/>
          <w:color w:val="000000"/>
          <w:sz w:val="18"/>
        </w:rPr>
        <w:t xml:space="preserve"> </w:t>
      </w:r>
      <w:r>
        <w:rPr>
          <w:color w:val="000000"/>
          <w:sz w:val="18"/>
        </w:rPr>
        <w:t xml:space="preserve">magnet motors using an improved conformal mapping </w:t>
      </w:r>
      <w:proofErr w:type="gramStart"/>
      <w:r>
        <w:rPr>
          <w:color w:val="000000"/>
          <w:sz w:val="18"/>
        </w:rPr>
        <w:t>method[</w:t>
      </w:r>
      <w:proofErr w:type="gramEnd"/>
      <w:r>
        <w:rPr>
          <w:color w:val="000000"/>
          <w:sz w:val="18"/>
        </w:rPr>
        <w:t xml:space="preserve">J]. IEEE Transactions on Magnetics, 2016, 52(2): </w:t>
      </w:r>
      <w:r>
        <w:rPr>
          <w:rFonts w:hint="eastAsia"/>
          <w:color w:val="000000"/>
          <w:sz w:val="18"/>
        </w:rPr>
        <w:t>5200112(1-12)</w:t>
      </w:r>
      <w:r>
        <w:rPr>
          <w:color w:val="000000"/>
          <w:sz w:val="18"/>
        </w:rPr>
        <w:t>.</w:t>
      </w:r>
    </w:p>
    <w:p w:rsidR="00054332" w:rsidRDefault="00054332" w:rsidP="00054332">
      <w:pPr>
        <w:ind w:left="448" w:hanging="448"/>
        <w:rPr>
          <w:color w:val="000000"/>
          <w:sz w:val="18"/>
        </w:rPr>
      </w:pPr>
      <w:r>
        <w:rPr>
          <w:color w:val="000000"/>
          <w:sz w:val="18"/>
        </w:rPr>
        <w:t>[36]</w:t>
      </w:r>
      <w:r>
        <w:rPr>
          <w:color w:val="000000"/>
          <w:sz w:val="18"/>
        </w:rPr>
        <w:tab/>
        <w:t xml:space="preserve">Paula G T D, </w:t>
      </w:r>
      <w:proofErr w:type="spellStart"/>
      <w:r>
        <w:rPr>
          <w:color w:val="000000"/>
          <w:sz w:val="18"/>
        </w:rPr>
        <w:t>Monteiro</w:t>
      </w:r>
      <w:proofErr w:type="spellEnd"/>
      <w:r>
        <w:rPr>
          <w:color w:val="000000"/>
          <w:sz w:val="18"/>
        </w:rPr>
        <w:t xml:space="preserve"> J R B d A, Almeida T E P d, et al. Evaluation of surface mounted PM machine's parameters on load conditions using frozen per</w:t>
      </w:r>
      <w:r>
        <w:rPr>
          <w:rFonts w:hint="eastAsia"/>
          <w:color w:val="000000"/>
          <w:sz w:val="18"/>
        </w:rPr>
        <w:t xml:space="preserve">- </w:t>
      </w:r>
      <w:proofErr w:type="spellStart"/>
      <w:r>
        <w:rPr>
          <w:color w:val="000000"/>
          <w:sz w:val="18"/>
        </w:rPr>
        <w:t>meability</w:t>
      </w:r>
      <w:proofErr w:type="spellEnd"/>
      <w:r>
        <w:rPr>
          <w:color w:val="000000"/>
          <w:sz w:val="18"/>
        </w:rPr>
        <w:t xml:space="preserve"> method. Part. </w:t>
      </w:r>
      <w:proofErr w:type="gramStart"/>
      <w:r>
        <w:rPr>
          <w:color w:val="000000"/>
          <w:sz w:val="18"/>
        </w:rPr>
        <w:t>II[C]//IEEE/IAS International Conference on Industry Applications, Berlin, 2014: 1-7.</w:t>
      </w:r>
      <w:proofErr w:type="gramEnd"/>
      <w:r>
        <w:rPr>
          <w:color w:val="000000"/>
          <w:sz w:val="18"/>
        </w:rPr>
        <w:t xml:space="preserve"> </w:t>
      </w:r>
    </w:p>
    <w:p w:rsidR="00054332" w:rsidRDefault="00054332" w:rsidP="00054332">
      <w:pPr>
        <w:ind w:left="448" w:hanging="448"/>
        <w:rPr>
          <w:color w:val="000000"/>
          <w:sz w:val="18"/>
        </w:rPr>
      </w:pPr>
      <w:r>
        <w:rPr>
          <w:color w:val="000000"/>
          <w:sz w:val="18"/>
        </w:rPr>
        <w:t>[37]</w:t>
      </w:r>
      <w:r>
        <w:rPr>
          <w:color w:val="000000"/>
          <w:sz w:val="18"/>
        </w:rPr>
        <w:tab/>
        <w:t xml:space="preserve">Zhao W, Zhao F, </w:t>
      </w:r>
      <w:proofErr w:type="spellStart"/>
      <w:r>
        <w:rPr>
          <w:color w:val="000000"/>
          <w:sz w:val="18"/>
        </w:rPr>
        <w:t>Lipo</w:t>
      </w:r>
      <w:proofErr w:type="spellEnd"/>
      <w:r>
        <w:rPr>
          <w:color w:val="000000"/>
          <w:sz w:val="18"/>
        </w:rPr>
        <w:t xml:space="preserve"> T A, et al. Optimal design of a novel V-type interior permanent magnet motor with assisted barriers for the improvement of torque characteristics[J]. IEEE Transactions on Magnetics, 2014, 50(11): </w:t>
      </w:r>
      <w:r>
        <w:rPr>
          <w:rFonts w:hint="eastAsia"/>
          <w:color w:val="000000"/>
          <w:sz w:val="18"/>
        </w:rPr>
        <w:t>8104504(</w:t>
      </w:r>
      <w:r>
        <w:rPr>
          <w:color w:val="000000"/>
          <w:sz w:val="18"/>
        </w:rPr>
        <w:t>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[38]</w:t>
      </w:r>
      <w:r>
        <w:rPr>
          <w:color w:val="000000"/>
          <w:sz w:val="18"/>
        </w:rPr>
        <w:tab/>
        <w:t xml:space="preserve">Zhao W, Chen D, </w:t>
      </w:r>
      <w:proofErr w:type="spellStart"/>
      <w:r>
        <w:rPr>
          <w:color w:val="000000"/>
          <w:sz w:val="18"/>
        </w:rPr>
        <w:t>Lipo</w:t>
      </w:r>
      <w:proofErr w:type="spellEnd"/>
      <w:r>
        <w:rPr>
          <w:color w:val="000000"/>
          <w:sz w:val="18"/>
        </w:rPr>
        <w:t xml:space="preserve"> T A, et al. Performance improvement of ferrite-assisted synchronous </w:t>
      </w:r>
      <w:proofErr w:type="spellStart"/>
      <w:r>
        <w:rPr>
          <w:color w:val="000000"/>
          <w:sz w:val="18"/>
        </w:rPr>
        <w:t>relu</w:t>
      </w:r>
      <w:proofErr w:type="spellEnd"/>
      <w:r>
        <w:rPr>
          <w:rFonts w:hint="eastAsia"/>
          <w:color w:val="000000"/>
          <w:sz w:val="18"/>
        </w:rPr>
        <w:t xml:space="preserve">- </w:t>
      </w:r>
      <w:proofErr w:type="spellStart"/>
      <w:r>
        <w:rPr>
          <w:color w:val="000000"/>
          <w:sz w:val="18"/>
        </w:rPr>
        <w:t>ctance</w:t>
      </w:r>
      <w:proofErr w:type="spellEnd"/>
      <w:r>
        <w:rPr>
          <w:color w:val="000000"/>
          <w:sz w:val="18"/>
        </w:rPr>
        <w:t xml:space="preserve"> machines using asymmetrical rotor con</w:t>
      </w:r>
      <w:r>
        <w:rPr>
          <w:rFonts w:hint="eastAsia"/>
          <w:color w:val="000000"/>
          <w:sz w:val="18"/>
        </w:rPr>
        <w:t xml:space="preserve">- </w:t>
      </w:r>
      <w:proofErr w:type="gramStart"/>
      <w:r>
        <w:rPr>
          <w:color w:val="000000"/>
          <w:sz w:val="18"/>
        </w:rPr>
        <w:t>figurations[</w:t>
      </w:r>
      <w:proofErr w:type="gramEnd"/>
      <w:r>
        <w:rPr>
          <w:color w:val="000000"/>
          <w:sz w:val="18"/>
        </w:rPr>
        <w:t xml:space="preserve">J]. IEEE Transactions on Magnetics, 2015, </w:t>
      </w:r>
      <w:r>
        <w:rPr>
          <w:color w:val="000000"/>
          <w:sz w:val="18"/>
        </w:rPr>
        <w:lastRenderedPageBreak/>
        <w:t>51(11): 8108504(1-4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[39]</w:t>
      </w:r>
      <w:r>
        <w:rPr>
          <w:color w:val="000000"/>
          <w:sz w:val="18"/>
        </w:rPr>
        <w:tab/>
        <w:t xml:space="preserve">Zhao W, </w:t>
      </w:r>
      <w:proofErr w:type="spellStart"/>
      <w:r>
        <w:rPr>
          <w:color w:val="000000"/>
          <w:sz w:val="18"/>
        </w:rPr>
        <w:t>Lipo</w:t>
      </w:r>
      <w:proofErr w:type="spellEnd"/>
      <w:r>
        <w:rPr>
          <w:color w:val="000000"/>
          <w:sz w:val="18"/>
        </w:rPr>
        <w:t xml:space="preserve"> T A, Kwon B I. Optimal design of a novel asymmetrical rotor structure to obtain torque and efficiency improvement in surface inset PM </w:t>
      </w:r>
      <w:proofErr w:type="gramStart"/>
      <w:r>
        <w:rPr>
          <w:color w:val="000000"/>
          <w:sz w:val="18"/>
        </w:rPr>
        <w:t>motors[</w:t>
      </w:r>
      <w:proofErr w:type="gramEnd"/>
      <w:r>
        <w:rPr>
          <w:color w:val="000000"/>
          <w:sz w:val="18"/>
        </w:rPr>
        <w:t xml:space="preserve">J]. IEEE Transactions on Magnetics, 2015, 51(3): </w:t>
      </w:r>
      <w:r>
        <w:rPr>
          <w:rFonts w:hint="eastAsia"/>
          <w:color w:val="000000"/>
          <w:sz w:val="18"/>
        </w:rPr>
        <w:t>8100704(</w:t>
      </w:r>
      <w:r>
        <w:rPr>
          <w:color w:val="000000"/>
          <w:sz w:val="18"/>
        </w:rPr>
        <w:t>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[40]</w:t>
      </w:r>
      <w:r>
        <w:rPr>
          <w:color w:val="000000"/>
          <w:sz w:val="18"/>
        </w:rPr>
        <w:tab/>
      </w:r>
      <w:proofErr w:type="spellStart"/>
      <w:r>
        <w:rPr>
          <w:color w:val="000000"/>
          <w:sz w:val="18"/>
        </w:rPr>
        <w:t>Fei</w:t>
      </w:r>
      <w:proofErr w:type="spellEnd"/>
      <w:r>
        <w:rPr>
          <w:color w:val="000000"/>
          <w:sz w:val="18"/>
        </w:rPr>
        <w:t xml:space="preserve"> W, </w:t>
      </w:r>
      <w:proofErr w:type="spellStart"/>
      <w:r>
        <w:rPr>
          <w:color w:val="000000"/>
          <w:sz w:val="18"/>
        </w:rPr>
        <w:t>Luk</w:t>
      </w:r>
      <w:proofErr w:type="spellEnd"/>
      <w:r>
        <w:rPr>
          <w:color w:val="000000"/>
          <w:sz w:val="18"/>
        </w:rPr>
        <w:t xml:space="preserve"> P C K, Miao D M, et al. Investigation of torque characteristics in a novel permanent magnet flux switching machine with an outer-rotor con</w:t>
      </w:r>
      <w:r>
        <w:rPr>
          <w:rFonts w:hint="eastAsia"/>
          <w:color w:val="000000"/>
          <w:sz w:val="18"/>
        </w:rPr>
        <w:t xml:space="preserve">- </w:t>
      </w:r>
      <w:proofErr w:type="gramStart"/>
      <w:r>
        <w:rPr>
          <w:color w:val="000000"/>
          <w:sz w:val="18"/>
        </w:rPr>
        <w:t>figuration[</w:t>
      </w:r>
      <w:proofErr w:type="gramEnd"/>
      <w:r>
        <w:rPr>
          <w:color w:val="000000"/>
          <w:sz w:val="18"/>
        </w:rPr>
        <w:t xml:space="preserve">J]. IEEE Transactions on Magnetics, 2014, 50(4): </w:t>
      </w:r>
      <w:r>
        <w:rPr>
          <w:rFonts w:hint="eastAsia"/>
          <w:color w:val="000000"/>
          <w:sz w:val="18"/>
        </w:rPr>
        <w:t>8100810(</w:t>
      </w:r>
      <w:r>
        <w:rPr>
          <w:color w:val="000000"/>
          <w:sz w:val="18"/>
        </w:rPr>
        <w:t>1-10</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[41]</w:t>
      </w:r>
      <w:r>
        <w:rPr>
          <w:color w:val="000000"/>
          <w:sz w:val="18"/>
        </w:rPr>
        <w:tab/>
        <w:t>Wu D, Zhu Z Q. Design tradeoff between cogging torque and torque ripple in fractional slot surface-</w:t>
      </w:r>
      <w:r>
        <w:rPr>
          <w:rFonts w:hint="eastAsia"/>
          <w:color w:val="000000"/>
          <w:sz w:val="18"/>
        </w:rPr>
        <w:t xml:space="preserve"> </w:t>
      </w:r>
      <w:r>
        <w:rPr>
          <w:color w:val="000000"/>
          <w:spacing w:val="4"/>
          <w:sz w:val="18"/>
        </w:rPr>
        <w:t xml:space="preserve">mounted permanent magnet </w:t>
      </w:r>
      <w:proofErr w:type="gramStart"/>
      <w:r>
        <w:rPr>
          <w:color w:val="000000"/>
          <w:spacing w:val="4"/>
          <w:sz w:val="18"/>
        </w:rPr>
        <w:t>machines[</w:t>
      </w:r>
      <w:proofErr w:type="gramEnd"/>
      <w:r>
        <w:rPr>
          <w:color w:val="000000"/>
          <w:spacing w:val="4"/>
          <w:sz w:val="18"/>
        </w:rPr>
        <w:t xml:space="preserve">J]. IEEE </w:t>
      </w:r>
      <w:proofErr w:type="spellStart"/>
      <w:r>
        <w:rPr>
          <w:color w:val="000000"/>
          <w:spacing w:val="4"/>
          <w:sz w:val="18"/>
        </w:rPr>
        <w:t>Transa</w:t>
      </w:r>
      <w:proofErr w:type="spellEnd"/>
      <w:r>
        <w:rPr>
          <w:rFonts w:hint="eastAsia"/>
          <w:color w:val="000000"/>
          <w:spacing w:val="4"/>
          <w:sz w:val="18"/>
        </w:rPr>
        <w:t xml:space="preserve">- </w:t>
      </w:r>
      <w:proofErr w:type="spellStart"/>
      <w:r>
        <w:rPr>
          <w:color w:val="000000"/>
          <w:sz w:val="18"/>
        </w:rPr>
        <w:t>ctions</w:t>
      </w:r>
      <w:proofErr w:type="spellEnd"/>
      <w:r>
        <w:rPr>
          <w:color w:val="000000"/>
          <w:sz w:val="18"/>
        </w:rPr>
        <w:t xml:space="preserve"> on Magnetics, 2015, 51(11): </w:t>
      </w:r>
      <w:r>
        <w:rPr>
          <w:rFonts w:hint="eastAsia"/>
          <w:color w:val="000000"/>
          <w:sz w:val="18"/>
        </w:rPr>
        <w:t>8108704(</w:t>
      </w:r>
      <w:r>
        <w:rPr>
          <w:color w:val="000000"/>
          <w:sz w:val="18"/>
        </w:rPr>
        <w:t>1-4</w:t>
      </w:r>
      <w:r>
        <w:rPr>
          <w:rFonts w:hint="eastAsia"/>
          <w:color w:val="000000"/>
          <w:sz w:val="18"/>
        </w:rPr>
        <w:t>)</w:t>
      </w:r>
      <w:r>
        <w:rPr>
          <w:color w:val="000000"/>
          <w:sz w:val="18"/>
        </w:rPr>
        <w:t>.</w:t>
      </w:r>
    </w:p>
    <w:p w:rsidR="00054332" w:rsidRDefault="00054332" w:rsidP="00054332">
      <w:pPr>
        <w:ind w:left="448" w:hanging="448"/>
        <w:rPr>
          <w:rFonts w:ascii="Times" w:hAnsi="Times"/>
          <w:color w:val="000000"/>
          <w:spacing w:val="8"/>
          <w:sz w:val="18"/>
        </w:rPr>
      </w:pPr>
      <w:r>
        <w:rPr>
          <w:color w:val="000000"/>
          <w:sz w:val="18"/>
        </w:rPr>
        <w:t>[42]</w:t>
      </w:r>
      <w:r>
        <w:rPr>
          <w:color w:val="000000"/>
          <w:sz w:val="18"/>
        </w:rPr>
        <w:tab/>
      </w:r>
      <w:proofErr w:type="spellStart"/>
      <w:r>
        <w:rPr>
          <w:color w:val="000000"/>
          <w:sz w:val="18"/>
        </w:rPr>
        <w:t>Xu</w:t>
      </w:r>
      <w:proofErr w:type="spellEnd"/>
      <w:r>
        <w:rPr>
          <w:color w:val="000000"/>
          <w:sz w:val="18"/>
        </w:rPr>
        <w:t xml:space="preserve"> L, Liu G, Zhao W, et al. Analysis of new modular linear flux reversal permanent magnet </w:t>
      </w:r>
      <w:proofErr w:type="gramStart"/>
      <w:r>
        <w:rPr>
          <w:color w:val="000000"/>
          <w:sz w:val="18"/>
        </w:rPr>
        <w:t>motors[</w:t>
      </w:r>
      <w:proofErr w:type="gramEnd"/>
      <w:r>
        <w:rPr>
          <w:color w:val="000000"/>
          <w:sz w:val="18"/>
        </w:rPr>
        <w:t xml:space="preserve">J]. </w:t>
      </w:r>
      <w:r>
        <w:rPr>
          <w:rFonts w:ascii="Times" w:hAnsi="Times"/>
          <w:color w:val="000000"/>
          <w:spacing w:val="8"/>
          <w:sz w:val="18"/>
        </w:rPr>
        <w:t xml:space="preserve">IEEE Transactions on Magnetics, 2015, 51(11): </w:t>
      </w:r>
      <w:r>
        <w:rPr>
          <w:rFonts w:ascii="Times" w:hAnsi="Times" w:hint="eastAsia"/>
          <w:color w:val="000000"/>
          <w:spacing w:val="8"/>
          <w:sz w:val="18"/>
        </w:rPr>
        <w:t xml:space="preserve">  8109904(</w:t>
      </w:r>
      <w:r>
        <w:rPr>
          <w:rFonts w:ascii="Times" w:hAnsi="Times"/>
          <w:color w:val="000000"/>
          <w:spacing w:val="8"/>
          <w:sz w:val="18"/>
        </w:rPr>
        <w:t>1-4</w:t>
      </w:r>
      <w:r>
        <w:rPr>
          <w:rFonts w:ascii="Times" w:hAnsi="Times" w:hint="eastAsia"/>
          <w:color w:val="000000"/>
          <w:spacing w:val="8"/>
          <w:sz w:val="18"/>
        </w:rPr>
        <w:t>)</w:t>
      </w:r>
      <w:r>
        <w:rPr>
          <w:rFonts w:ascii="Times" w:hAnsi="Times"/>
          <w:color w:val="000000"/>
          <w:spacing w:val="8"/>
          <w:sz w:val="18"/>
        </w:rPr>
        <w:t>.</w:t>
      </w:r>
    </w:p>
    <w:p w:rsidR="00054332" w:rsidRDefault="00054332" w:rsidP="00054332">
      <w:pPr>
        <w:ind w:left="448" w:hanging="448"/>
        <w:rPr>
          <w:color w:val="000000"/>
          <w:sz w:val="18"/>
        </w:rPr>
      </w:pPr>
      <w:r>
        <w:rPr>
          <w:color w:val="000000"/>
          <w:sz w:val="18"/>
        </w:rPr>
        <w:t>[43]</w:t>
      </w:r>
      <w:r>
        <w:rPr>
          <w:color w:val="000000"/>
          <w:sz w:val="18"/>
        </w:rPr>
        <w:tab/>
        <w:t xml:space="preserve">Li G J, Zhu Z Q, Jewell G. Performance investigation of hybrid excited switched flux permanent magnet machines using frozen permeability </w:t>
      </w:r>
      <w:proofErr w:type="gramStart"/>
      <w:r>
        <w:rPr>
          <w:color w:val="000000"/>
          <w:sz w:val="18"/>
        </w:rPr>
        <w:t>method[</w:t>
      </w:r>
      <w:proofErr w:type="gramEnd"/>
      <w:r>
        <w:rPr>
          <w:color w:val="000000"/>
          <w:sz w:val="18"/>
        </w:rPr>
        <w:t>J]. IET Electric Power Applications, 2015, 9(9): 586-594.</w:t>
      </w:r>
    </w:p>
    <w:p w:rsidR="00054332" w:rsidRDefault="00054332" w:rsidP="00054332">
      <w:pPr>
        <w:ind w:left="448" w:hanging="448"/>
        <w:rPr>
          <w:color w:val="000000"/>
          <w:sz w:val="18"/>
        </w:rPr>
      </w:pPr>
      <w:r>
        <w:rPr>
          <w:color w:val="000000"/>
          <w:sz w:val="18"/>
        </w:rPr>
        <w:t>[44]</w:t>
      </w:r>
      <w:r>
        <w:rPr>
          <w:color w:val="000000"/>
          <w:sz w:val="18"/>
        </w:rPr>
        <w:tab/>
      </w:r>
      <w:proofErr w:type="spellStart"/>
      <w:r>
        <w:rPr>
          <w:color w:val="000000"/>
          <w:sz w:val="18"/>
        </w:rPr>
        <w:t>Tangudu</w:t>
      </w:r>
      <w:proofErr w:type="spellEnd"/>
      <w:r>
        <w:rPr>
          <w:color w:val="000000"/>
          <w:sz w:val="18"/>
        </w:rPr>
        <w:t xml:space="preserve"> J K, </w:t>
      </w:r>
      <w:proofErr w:type="spellStart"/>
      <w:r>
        <w:rPr>
          <w:color w:val="000000"/>
          <w:sz w:val="18"/>
        </w:rPr>
        <w:t>Jahns</w:t>
      </w:r>
      <w:proofErr w:type="spellEnd"/>
      <w:r>
        <w:rPr>
          <w:color w:val="000000"/>
          <w:sz w:val="18"/>
        </w:rPr>
        <w:t xml:space="preserve"> T M, El-</w:t>
      </w:r>
      <w:proofErr w:type="spellStart"/>
      <w:r>
        <w:rPr>
          <w:color w:val="000000"/>
          <w:sz w:val="18"/>
        </w:rPr>
        <w:t>Refaie</w:t>
      </w:r>
      <w:proofErr w:type="spellEnd"/>
      <w:r>
        <w:rPr>
          <w:color w:val="000000"/>
          <w:sz w:val="18"/>
        </w:rPr>
        <w:t xml:space="preserve"> </w:t>
      </w:r>
      <w:proofErr w:type="gramStart"/>
      <w:r>
        <w:rPr>
          <w:color w:val="000000"/>
          <w:sz w:val="18"/>
        </w:rPr>
        <w:t>A</w:t>
      </w:r>
      <w:proofErr w:type="gramEnd"/>
      <w:r>
        <w:rPr>
          <w:color w:val="000000"/>
          <w:sz w:val="18"/>
        </w:rPr>
        <w:t xml:space="preserve"> M, et al. Segregation of torque components in fractional-slot concentrated-winding interior PM machines using frozen permeability[C]//IEEE Energy Conversion Congress and Exposition, San Jose, CA, 2009: 3814-</w:t>
      </w:r>
      <w:r>
        <w:rPr>
          <w:rFonts w:hint="eastAsia"/>
          <w:color w:val="000000"/>
          <w:sz w:val="18"/>
        </w:rPr>
        <w:t xml:space="preserve"> </w:t>
      </w:r>
      <w:r>
        <w:rPr>
          <w:color w:val="000000"/>
          <w:sz w:val="18"/>
        </w:rPr>
        <w:t>3821.</w:t>
      </w:r>
    </w:p>
    <w:p w:rsidR="00054332" w:rsidRDefault="00054332" w:rsidP="00054332">
      <w:pPr>
        <w:ind w:left="448" w:hanging="448"/>
        <w:rPr>
          <w:color w:val="000000"/>
          <w:sz w:val="18"/>
        </w:rPr>
      </w:pPr>
      <w:r>
        <w:rPr>
          <w:color w:val="000000"/>
          <w:sz w:val="18"/>
        </w:rPr>
        <w:t>[45]</w:t>
      </w:r>
      <w:r>
        <w:rPr>
          <w:color w:val="000000"/>
          <w:sz w:val="18"/>
        </w:rPr>
        <w:tab/>
        <w:t xml:space="preserve">Xia B, </w:t>
      </w:r>
      <w:proofErr w:type="spellStart"/>
      <w:r>
        <w:rPr>
          <w:color w:val="000000"/>
          <w:sz w:val="18"/>
        </w:rPr>
        <w:t>Fei</w:t>
      </w:r>
      <w:proofErr w:type="spellEnd"/>
      <w:r>
        <w:rPr>
          <w:color w:val="000000"/>
          <w:sz w:val="18"/>
        </w:rPr>
        <w:t xml:space="preserve"> W, </w:t>
      </w:r>
      <w:proofErr w:type="spellStart"/>
      <w:r>
        <w:rPr>
          <w:color w:val="000000"/>
          <w:sz w:val="18"/>
        </w:rPr>
        <w:t>Luk</w:t>
      </w:r>
      <w:proofErr w:type="spellEnd"/>
      <w:r>
        <w:rPr>
          <w:color w:val="000000"/>
          <w:sz w:val="18"/>
        </w:rPr>
        <w:t xml:space="preserve"> P. Analysis and design of V-spoke ferrite interior permanent magnet machine for traction applications[C]//International Conference on Power Electronics Systems and Applications, Hong Kong, 2015: 1-6.</w:t>
      </w:r>
    </w:p>
    <w:p w:rsidR="00054332" w:rsidRDefault="00054332" w:rsidP="00054332">
      <w:pPr>
        <w:ind w:left="448" w:hanging="448"/>
        <w:rPr>
          <w:color w:val="000000"/>
          <w:sz w:val="18"/>
        </w:rPr>
      </w:pPr>
      <w:r>
        <w:rPr>
          <w:color w:val="000000"/>
          <w:sz w:val="18"/>
        </w:rPr>
        <w:t>[46]</w:t>
      </w:r>
      <w:r>
        <w:rPr>
          <w:color w:val="000000"/>
          <w:sz w:val="18"/>
        </w:rPr>
        <w:tab/>
        <w:t>Chen X, Wang J, Patel V I, et al. Reluctance torque evaluation for interior permanent magnet machines using frozen permeability[C]//IET International Conference on Power Electronics, Machines and Drives, Manchester, 2014: 1-6.</w:t>
      </w:r>
    </w:p>
    <w:p w:rsidR="00054332" w:rsidRDefault="00054332" w:rsidP="00054332">
      <w:pPr>
        <w:ind w:left="448" w:hanging="448"/>
        <w:rPr>
          <w:color w:val="000000"/>
          <w:sz w:val="18"/>
        </w:rPr>
      </w:pPr>
      <w:r>
        <w:rPr>
          <w:color w:val="000000"/>
          <w:sz w:val="18"/>
        </w:rPr>
        <w:t>[47]</w:t>
      </w:r>
      <w:r>
        <w:rPr>
          <w:color w:val="000000"/>
          <w:sz w:val="18"/>
        </w:rPr>
        <w:tab/>
      </w:r>
      <w:proofErr w:type="spellStart"/>
      <w:r>
        <w:rPr>
          <w:color w:val="000000"/>
          <w:sz w:val="18"/>
        </w:rPr>
        <w:t>Popescu</w:t>
      </w:r>
      <w:proofErr w:type="spellEnd"/>
      <w:r>
        <w:rPr>
          <w:color w:val="000000"/>
          <w:sz w:val="18"/>
        </w:rPr>
        <w:t xml:space="preserve"> M, </w:t>
      </w:r>
      <w:proofErr w:type="spellStart"/>
      <w:r>
        <w:rPr>
          <w:color w:val="000000"/>
          <w:sz w:val="18"/>
        </w:rPr>
        <w:t>Ionel</w:t>
      </w:r>
      <w:proofErr w:type="spellEnd"/>
      <w:r>
        <w:rPr>
          <w:color w:val="000000"/>
          <w:sz w:val="18"/>
        </w:rPr>
        <w:t xml:space="preserve"> D M, Miller T J E, et al. Improved finite element computations of torque in brushless permanent magnet motors[J]. IEE Proceeding</w:t>
      </w:r>
      <w:r>
        <w:rPr>
          <w:rFonts w:hint="eastAsia"/>
          <w:color w:val="000000"/>
          <w:sz w:val="18"/>
        </w:rPr>
        <w:t>s</w:t>
      </w:r>
      <w:r>
        <w:rPr>
          <w:color w:val="000000"/>
          <w:sz w:val="18"/>
        </w:rPr>
        <w:t xml:space="preserve"> on Electrical Power Applications, 2005, 152(2): 271-276. </w:t>
      </w:r>
    </w:p>
    <w:p w:rsidR="00054332" w:rsidRDefault="00054332" w:rsidP="00054332">
      <w:pPr>
        <w:ind w:left="448" w:hanging="448"/>
        <w:rPr>
          <w:color w:val="000000"/>
          <w:sz w:val="18"/>
        </w:rPr>
      </w:pPr>
      <w:r>
        <w:rPr>
          <w:color w:val="000000"/>
          <w:sz w:val="18"/>
        </w:rPr>
        <w:t>[48]</w:t>
      </w:r>
      <w:r>
        <w:rPr>
          <w:color w:val="000000"/>
          <w:sz w:val="18"/>
        </w:rPr>
        <w:tab/>
        <w:t xml:space="preserve">Chu W Q, Zhu Z Q. On-load cogging torque </w:t>
      </w:r>
      <w:r>
        <w:rPr>
          <w:color w:val="000000"/>
          <w:sz w:val="18"/>
        </w:rPr>
        <w:lastRenderedPageBreak/>
        <w:t xml:space="preserve">calculation in permanent magnet </w:t>
      </w:r>
      <w:proofErr w:type="gramStart"/>
      <w:r>
        <w:rPr>
          <w:color w:val="000000"/>
          <w:sz w:val="18"/>
        </w:rPr>
        <w:t>machines[</w:t>
      </w:r>
      <w:proofErr w:type="gramEnd"/>
      <w:r>
        <w:rPr>
          <w:color w:val="000000"/>
          <w:sz w:val="18"/>
        </w:rPr>
        <w:t>J]. IEEE Transactions on Magnetics, 2013, 49(6): 2982-2989.</w:t>
      </w:r>
    </w:p>
    <w:p w:rsidR="00054332" w:rsidRDefault="00054332" w:rsidP="00054332">
      <w:pPr>
        <w:ind w:left="448" w:hanging="448"/>
        <w:rPr>
          <w:color w:val="000000"/>
          <w:sz w:val="18"/>
        </w:rPr>
      </w:pPr>
      <w:r>
        <w:rPr>
          <w:color w:val="000000"/>
          <w:sz w:val="18"/>
        </w:rPr>
        <w:t>[49]</w:t>
      </w:r>
      <w:r>
        <w:rPr>
          <w:color w:val="000000"/>
          <w:sz w:val="18"/>
        </w:rPr>
        <w:tab/>
      </w:r>
      <w:proofErr w:type="spellStart"/>
      <w:r>
        <w:rPr>
          <w:color w:val="000000"/>
          <w:sz w:val="18"/>
        </w:rPr>
        <w:t>Pina</w:t>
      </w:r>
      <w:proofErr w:type="spellEnd"/>
      <w:r>
        <w:rPr>
          <w:color w:val="000000"/>
          <w:sz w:val="18"/>
        </w:rPr>
        <w:t xml:space="preserve"> A J, </w:t>
      </w:r>
      <w:proofErr w:type="spellStart"/>
      <w:r>
        <w:rPr>
          <w:color w:val="000000"/>
          <w:sz w:val="18"/>
        </w:rPr>
        <w:t>Pramod</w:t>
      </w:r>
      <w:proofErr w:type="spellEnd"/>
      <w:r>
        <w:rPr>
          <w:color w:val="000000"/>
          <w:sz w:val="18"/>
        </w:rPr>
        <w:t xml:space="preserve"> P, Islam R, et al. Extended model of interior permanent magnet synchronous motors to include harmonics in d-</w:t>
      </w:r>
      <w:r>
        <w:rPr>
          <w:rFonts w:hint="eastAsia"/>
          <w:color w:val="000000"/>
          <w:sz w:val="18"/>
        </w:rPr>
        <w:t xml:space="preserve"> </w:t>
      </w:r>
      <w:r>
        <w:rPr>
          <w:color w:val="000000"/>
          <w:sz w:val="18"/>
        </w:rPr>
        <w:t>and q-axes flux linkages[C]//</w:t>
      </w:r>
      <w:r>
        <w:rPr>
          <w:rFonts w:hint="eastAsia"/>
          <w:color w:val="000000"/>
          <w:sz w:val="18"/>
        </w:rPr>
        <w:t xml:space="preserve"> </w:t>
      </w:r>
      <w:r>
        <w:rPr>
          <w:color w:val="000000"/>
          <w:sz w:val="18"/>
        </w:rPr>
        <w:t>IEEE Energy Conversion Congress and Exposition, Montreal, QC, 2015: 1864-1871.</w:t>
      </w:r>
    </w:p>
    <w:p w:rsidR="00054332" w:rsidRDefault="00054332" w:rsidP="00054332">
      <w:pPr>
        <w:ind w:left="448" w:hanging="448"/>
        <w:rPr>
          <w:color w:val="000000"/>
          <w:sz w:val="18"/>
        </w:rPr>
      </w:pPr>
      <w:r>
        <w:rPr>
          <w:color w:val="000000"/>
          <w:sz w:val="18"/>
        </w:rPr>
        <w:t>[50]</w:t>
      </w:r>
      <w:r>
        <w:rPr>
          <w:color w:val="000000"/>
          <w:sz w:val="18"/>
        </w:rPr>
        <w:tab/>
      </w:r>
      <w:proofErr w:type="spellStart"/>
      <w:r>
        <w:rPr>
          <w:color w:val="000000"/>
          <w:sz w:val="18"/>
        </w:rPr>
        <w:t>Seo</w:t>
      </w:r>
      <w:proofErr w:type="spellEnd"/>
      <w:r>
        <w:rPr>
          <w:color w:val="000000"/>
          <w:sz w:val="18"/>
        </w:rPr>
        <w:t xml:space="preserve"> J H, </w:t>
      </w:r>
      <w:proofErr w:type="spellStart"/>
      <w:r>
        <w:rPr>
          <w:color w:val="000000"/>
          <w:sz w:val="18"/>
        </w:rPr>
        <w:t>Kwak</w:t>
      </w:r>
      <w:proofErr w:type="spellEnd"/>
      <w:r>
        <w:rPr>
          <w:color w:val="000000"/>
          <w:sz w:val="18"/>
        </w:rPr>
        <w:t xml:space="preserve"> S Y, Jung S Y, et al. Investigation on EMF waveform in the interior permanent magnet synchronous machine considering load condition[C]//</w:t>
      </w:r>
      <w:r>
        <w:rPr>
          <w:rFonts w:hint="eastAsia"/>
          <w:color w:val="000000"/>
          <w:sz w:val="18"/>
        </w:rPr>
        <w:t xml:space="preserve"> </w:t>
      </w:r>
      <w:r>
        <w:rPr>
          <w:color w:val="000000"/>
          <w:sz w:val="18"/>
        </w:rPr>
        <w:t>Biennial IEEE Conference on Electromagnetic Field Computation, Miami, FL, 2006: 321-321.</w:t>
      </w:r>
    </w:p>
    <w:p w:rsidR="00054332" w:rsidRDefault="00054332" w:rsidP="00054332">
      <w:pPr>
        <w:ind w:left="448" w:hanging="448"/>
        <w:rPr>
          <w:color w:val="000000"/>
          <w:sz w:val="18"/>
        </w:rPr>
      </w:pPr>
      <w:r>
        <w:rPr>
          <w:color w:val="000000"/>
          <w:sz w:val="18"/>
        </w:rPr>
        <w:t>[51]</w:t>
      </w:r>
      <w:r>
        <w:rPr>
          <w:color w:val="000000"/>
          <w:sz w:val="18"/>
        </w:rPr>
        <w:tab/>
        <w:t xml:space="preserve">Paula G T D, </w:t>
      </w:r>
      <w:proofErr w:type="spellStart"/>
      <w:r>
        <w:rPr>
          <w:color w:val="000000"/>
          <w:sz w:val="18"/>
        </w:rPr>
        <w:t>Monteiro</w:t>
      </w:r>
      <w:proofErr w:type="spellEnd"/>
      <w:r>
        <w:rPr>
          <w:color w:val="000000"/>
          <w:sz w:val="18"/>
        </w:rPr>
        <w:t xml:space="preserve"> J R B d A, Almeida T E P d, et al. Evaluation of surface mounted PM machine's parameters on load conditions using frozen per</w:t>
      </w:r>
      <w:r>
        <w:rPr>
          <w:rFonts w:hint="eastAsia"/>
          <w:color w:val="000000"/>
          <w:sz w:val="18"/>
        </w:rPr>
        <w:t xml:space="preserve">- </w:t>
      </w:r>
      <w:proofErr w:type="spellStart"/>
      <w:r>
        <w:rPr>
          <w:color w:val="000000"/>
          <w:sz w:val="18"/>
        </w:rPr>
        <w:t>meability</w:t>
      </w:r>
      <w:proofErr w:type="spellEnd"/>
      <w:r>
        <w:rPr>
          <w:color w:val="000000"/>
          <w:sz w:val="18"/>
        </w:rPr>
        <w:t xml:space="preserve"> method. Part. </w:t>
      </w:r>
      <w:proofErr w:type="gramStart"/>
      <w:r>
        <w:rPr>
          <w:color w:val="000000"/>
          <w:sz w:val="18"/>
        </w:rPr>
        <w:t>II[C]//International Con</w:t>
      </w:r>
      <w:r>
        <w:rPr>
          <w:rFonts w:hint="eastAsia"/>
          <w:color w:val="000000"/>
          <w:sz w:val="18"/>
        </w:rPr>
        <w:t xml:space="preserve">- </w:t>
      </w:r>
      <w:proofErr w:type="spellStart"/>
      <w:r>
        <w:rPr>
          <w:color w:val="000000"/>
          <w:sz w:val="18"/>
        </w:rPr>
        <w:t>ference</w:t>
      </w:r>
      <w:proofErr w:type="spellEnd"/>
      <w:r>
        <w:rPr>
          <w:color w:val="000000"/>
          <w:sz w:val="18"/>
        </w:rPr>
        <w:t xml:space="preserve"> on Electrical Machines, Berlin, 2014: 156-</w:t>
      </w:r>
      <w:r>
        <w:rPr>
          <w:rFonts w:hint="eastAsia"/>
          <w:color w:val="000000"/>
          <w:sz w:val="18"/>
        </w:rPr>
        <w:t xml:space="preserve"> </w:t>
      </w:r>
      <w:r>
        <w:rPr>
          <w:color w:val="000000"/>
          <w:sz w:val="18"/>
        </w:rPr>
        <w:t>161.</w:t>
      </w:r>
      <w:proofErr w:type="gramEnd"/>
    </w:p>
    <w:p w:rsidR="00054332" w:rsidRDefault="00054332" w:rsidP="00054332">
      <w:pPr>
        <w:ind w:left="448" w:hanging="448"/>
        <w:rPr>
          <w:color w:val="000000"/>
          <w:sz w:val="18"/>
        </w:rPr>
      </w:pPr>
      <w:r>
        <w:rPr>
          <w:color w:val="000000"/>
          <w:sz w:val="18"/>
        </w:rPr>
        <w:t>[52]</w:t>
      </w:r>
      <w:r>
        <w:rPr>
          <w:color w:val="000000"/>
          <w:sz w:val="18"/>
        </w:rPr>
        <w:tab/>
        <w:t xml:space="preserve">Wu D. Effect of magnetic saturation in fractional slot PM machines with particular reference to terminal voltage </w:t>
      </w:r>
      <w:proofErr w:type="gramStart"/>
      <w:r>
        <w:rPr>
          <w:color w:val="000000"/>
          <w:sz w:val="18"/>
        </w:rPr>
        <w:t>distortion[</w:t>
      </w:r>
      <w:proofErr w:type="gramEnd"/>
      <w:r>
        <w:rPr>
          <w:color w:val="000000"/>
          <w:sz w:val="18"/>
        </w:rPr>
        <w:t xml:space="preserve">D]. UK: The University of Sheffield, 2015. </w:t>
      </w:r>
    </w:p>
    <w:p w:rsidR="00054332" w:rsidRDefault="00054332" w:rsidP="00054332">
      <w:pPr>
        <w:ind w:left="448" w:hanging="448"/>
        <w:rPr>
          <w:color w:val="000000"/>
          <w:sz w:val="18"/>
        </w:rPr>
      </w:pPr>
      <w:r>
        <w:rPr>
          <w:color w:val="000000"/>
          <w:sz w:val="18"/>
        </w:rPr>
        <w:t>[53]</w:t>
      </w:r>
      <w:r>
        <w:rPr>
          <w:color w:val="000000"/>
          <w:sz w:val="18"/>
        </w:rPr>
        <w:tab/>
        <w:t xml:space="preserve">Wu D, Zhu Z Q. On-load voltage distortion in fractional slot surface-mounted permanent magnet machines considering local magnetic </w:t>
      </w:r>
      <w:proofErr w:type="gramStart"/>
      <w:r>
        <w:rPr>
          <w:color w:val="000000"/>
          <w:sz w:val="18"/>
        </w:rPr>
        <w:t>saturation[</w:t>
      </w:r>
      <w:proofErr w:type="gramEnd"/>
      <w:r>
        <w:rPr>
          <w:color w:val="000000"/>
          <w:sz w:val="18"/>
        </w:rPr>
        <w:t xml:space="preserve">J]. IEEE Transactions on Magnetics, 2015, 51(8): </w:t>
      </w:r>
      <w:r>
        <w:rPr>
          <w:rFonts w:hint="eastAsia"/>
          <w:color w:val="000000"/>
          <w:sz w:val="18"/>
        </w:rPr>
        <w:t>8106410(</w:t>
      </w:r>
      <w:r>
        <w:rPr>
          <w:color w:val="000000"/>
          <w:sz w:val="18"/>
        </w:rPr>
        <w:t>1-10</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[54]</w:t>
      </w:r>
      <w:r>
        <w:rPr>
          <w:color w:val="000000"/>
          <w:sz w:val="18"/>
        </w:rPr>
        <w:tab/>
        <w:t>Wu D, Zhu Z Q. Influence of slot and pole number combinations on voltage distortion in surface-</w:t>
      </w:r>
      <w:r>
        <w:rPr>
          <w:rFonts w:hint="eastAsia"/>
          <w:color w:val="000000"/>
          <w:sz w:val="18"/>
        </w:rPr>
        <w:t xml:space="preserve"> </w:t>
      </w:r>
      <w:r>
        <w:rPr>
          <w:color w:val="000000"/>
          <w:sz w:val="18"/>
        </w:rPr>
        <w:t xml:space="preserve">mounted permanent magnet machines with local magnetic </w:t>
      </w:r>
      <w:proofErr w:type="gramStart"/>
      <w:r>
        <w:rPr>
          <w:color w:val="000000"/>
          <w:sz w:val="18"/>
        </w:rPr>
        <w:t>saturation[</w:t>
      </w:r>
      <w:proofErr w:type="gramEnd"/>
      <w:r>
        <w:rPr>
          <w:color w:val="000000"/>
          <w:sz w:val="18"/>
        </w:rPr>
        <w:t>J]. IEEE Transactions on Energy Conversion, 2015, 30(4): 1460-1471.</w:t>
      </w:r>
    </w:p>
    <w:p w:rsidR="00054332" w:rsidRDefault="00054332" w:rsidP="00054332">
      <w:pPr>
        <w:ind w:left="448" w:hanging="448"/>
        <w:rPr>
          <w:color w:val="000000"/>
          <w:sz w:val="18"/>
        </w:rPr>
      </w:pPr>
      <w:r>
        <w:rPr>
          <w:color w:val="000000"/>
          <w:sz w:val="18"/>
        </w:rPr>
        <w:t>[55]</w:t>
      </w:r>
      <w:r>
        <w:rPr>
          <w:color w:val="000000"/>
          <w:sz w:val="18"/>
        </w:rPr>
        <w:tab/>
        <w:t xml:space="preserve">Zhu Z Q, Wu D. On-load voltage distortion in fractional-slot interior permanent magnet </w:t>
      </w:r>
      <w:proofErr w:type="gramStart"/>
      <w:r>
        <w:rPr>
          <w:color w:val="000000"/>
          <w:sz w:val="18"/>
        </w:rPr>
        <w:t>machines[</w:t>
      </w:r>
      <w:proofErr w:type="gramEnd"/>
      <w:r>
        <w:rPr>
          <w:color w:val="000000"/>
          <w:sz w:val="18"/>
        </w:rPr>
        <w:t>J]. IEEE Transactions on Magnetics, 2015, 51(10): 1-9.</w:t>
      </w:r>
    </w:p>
    <w:p w:rsidR="00054332" w:rsidRDefault="00054332" w:rsidP="00054332">
      <w:pPr>
        <w:ind w:left="448" w:hanging="448"/>
        <w:rPr>
          <w:color w:val="000000"/>
          <w:sz w:val="18"/>
        </w:rPr>
      </w:pPr>
      <w:r>
        <w:rPr>
          <w:color w:val="000000"/>
          <w:sz w:val="18"/>
        </w:rPr>
        <w:t>[56]</w:t>
      </w:r>
      <w:r>
        <w:rPr>
          <w:color w:val="000000"/>
          <w:sz w:val="18"/>
        </w:rPr>
        <w:tab/>
        <w:t xml:space="preserve">Zhu Z Q, Wu D, </w:t>
      </w:r>
      <w:proofErr w:type="spellStart"/>
      <w:r>
        <w:rPr>
          <w:color w:val="000000"/>
          <w:sz w:val="18"/>
        </w:rPr>
        <w:t>Ge</w:t>
      </w:r>
      <w:proofErr w:type="spellEnd"/>
      <w:r>
        <w:rPr>
          <w:color w:val="000000"/>
          <w:sz w:val="18"/>
        </w:rPr>
        <w:t xml:space="preserve"> X. Investigation of voltage distortion in fractional slot interior permanent magnet machines having different slot and pole number combinations[J]. IEEE Transactions on Energy Conversion, 2016, </w:t>
      </w:r>
      <w:r>
        <w:rPr>
          <w:rFonts w:hint="eastAsia"/>
          <w:color w:val="000000"/>
          <w:sz w:val="18"/>
        </w:rPr>
        <w:t>31(3): 1192-1201</w:t>
      </w:r>
      <w:r>
        <w:rPr>
          <w:color w:val="000000"/>
          <w:sz w:val="18"/>
        </w:rPr>
        <w:t>.</w:t>
      </w:r>
    </w:p>
    <w:p w:rsidR="00054332" w:rsidRDefault="00054332" w:rsidP="00054332">
      <w:pPr>
        <w:ind w:left="448" w:hanging="448"/>
        <w:rPr>
          <w:rFonts w:ascii="Times" w:hAnsi="Times"/>
          <w:color w:val="000000"/>
          <w:spacing w:val="8"/>
          <w:sz w:val="18"/>
        </w:rPr>
      </w:pPr>
      <w:r>
        <w:rPr>
          <w:color w:val="000000"/>
          <w:sz w:val="18"/>
        </w:rPr>
        <w:t>[57]</w:t>
      </w:r>
      <w:r>
        <w:rPr>
          <w:color w:val="000000"/>
          <w:sz w:val="18"/>
        </w:rPr>
        <w:tab/>
        <w:t xml:space="preserve">Zhu Z Q, Wu D, Wu M C, et al. Influence of on-load voltage distortion on torque-speed characteristic of interior permanent magnet machines[C]//IEEE Energy </w:t>
      </w:r>
      <w:r>
        <w:rPr>
          <w:rFonts w:ascii="Times" w:hAnsi="Times"/>
          <w:color w:val="000000"/>
          <w:spacing w:val="8"/>
          <w:sz w:val="18"/>
        </w:rPr>
        <w:t>Conversion Congress and Exposition, 2015: 760-</w:t>
      </w:r>
      <w:r>
        <w:rPr>
          <w:rFonts w:ascii="Times" w:hAnsi="Times" w:hint="eastAsia"/>
          <w:color w:val="000000"/>
          <w:spacing w:val="8"/>
          <w:sz w:val="18"/>
        </w:rPr>
        <w:t xml:space="preserve"> </w:t>
      </w:r>
      <w:r>
        <w:rPr>
          <w:rFonts w:ascii="Times" w:hAnsi="Times"/>
          <w:color w:val="000000"/>
          <w:spacing w:val="8"/>
          <w:sz w:val="18"/>
        </w:rPr>
        <w:lastRenderedPageBreak/>
        <w:t>767.</w:t>
      </w:r>
    </w:p>
    <w:p w:rsidR="00054332" w:rsidRDefault="00054332" w:rsidP="00054332">
      <w:pPr>
        <w:ind w:left="448" w:hanging="448"/>
        <w:rPr>
          <w:color w:val="000000"/>
          <w:sz w:val="18"/>
        </w:rPr>
      </w:pPr>
      <w:r>
        <w:rPr>
          <w:color w:val="000000"/>
          <w:sz w:val="18"/>
        </w:rPr>
        <w:t>[58]</w:t>
      </w:r>
      <w:r>
        <w:rPr>
          <w:color w:val="000000"/>
          <w:sz w:val="18"/>
        </w:rPr>
        <w:tab/>
      </w:r>
      <w:proofErr w:type="spellStart"/>
      <w:r>
        <w:rPr>
          <w:color w:val="000000"/>
          <w:sz w:val="18"/>
        </w:rPr>
        <w:t>Qi</w:t>
      </w:r>
      <w:proofErr w:type="spellEnd"/>
      <w:r>
        <w:rPr>
          <w:color w:val="000000"/>
          <w:sz w:val="18"/>
        </w:rPr>
        <w:t xml:space="preserve"> G, Chen J T, Zhu Z Q, et al. Influence of skew and cross-coupling on flux-weakening performance of permanent-magnet brushless AC </w:t>
      </w:r>
      <w:proofErr w:type="gramStart"/>
      <w:r>
        <w:rPr>
          <w:color w:val="000000"/>
          <w:sz w:val="18"/>
        </w:rPr>
        <w:t>machines[</w:t>
      </w:r>
      <w:proofErr w:type="gramEnd"/>
      <w:r>
        <w:rPr>
          <w:color w:val="000000"/>
          <w:sz w:val="18"/>
        </w:rPr>
        <w:t>J]. IEEE Transactions on Magnetics, 2009, 45(5): 2110-2117.</w:t>
      </w:r>
    </w:p>
    <w:p w:rsidR="00054332" w:rsidRDefault="00054332" w:rsidP="00054332">
      <w:pPr>
        <w:ind w:left="448" w:hanging="448"/>
        <w:rPr>
          <w:color w:val="000000"/>
          <w:sz w:val="18"/>
        </w:rPr>
      </w:pPr>
      <w:r>
        <w:rPr>
          <w:color w:val="000000"/>
          <w:sz w:val="18"/>
        </w:rPr>
        <w:t>[59]</w:t>
      </w:r>
      <w:r>
        <w:rPr>
          <w:color w:val="000000"/>
          <w:sz w:val="18"/>
        </w:rPr>
        <w:tab/>
      </w:r>
      <w:proofErr w:type="spellStart"/>
      <w:r>
        <w:rPr>
          <w:color w:val="000000"/>
          <w:sz w:val="18"/>
        </w:rPr>
        <w:t>Chai</w:t>
      </w:r>
      <w:proofErr w:type="spellEnd"/>
      <w:r>
        <w:rPr>
          <w:color w:val="000000"/>
          <w:sz w:val="18"/>
        </w:rPr>
        <w:t xml:space="preserve"> S H, Lee B H, Hong J P, et al. Design of IPMSM having high power density for position </w:t>
      </w:r>
      <w:proofErr w:type="spellStart"/>
      <w:r>
        <w:rPr>
          <w:color w:val="000000"/>
          <w:sz w:val="18"/>
        </w:rPr>
        <w:t>sensorless</w:t>
      </w:r>
      <w:proofErr w:type="spellEnd"/>
      <w:r>
        <w:rPr>
          <w:color w:val="000000"/>
          <w:sz w:val="18"/>
        </w:rPr>
        <w:t xml:space="preserve"> operation with high-frequency signal injection and the method of calculating inductance profile[C]//</w:t>
      </w:r>
      <w:r>
        <w:rPr>
          <w:rFonts w:hint="eastAsia"/>
          <w:color w:val="000000"/>
          <w:sz w:val="18"/>
        </w:rPr>
        <w:t xml:space="preserve"> </w:t>
      </w:r>
      <w:r>
        <w:rPr>
          <w:color w:val="000000"/>
          <w:sz w:val="18"/>
        </w:rPr>
        <w:t>International Conference on Electrical Machines and Systems, Beijing, 2011: 1-5.</w:t>
      </w:r>
    </w:p>
    <w:p w:rsidR="00054332" w:rsidRDefault="00054332" w:rsidP="00054332">
      <w:pPr>
        <w:ind w:left="448" w:hanging="448"/>
        <w:rPr>
          <w:color w:val="000000"/>
          <w:sz w:val="18"/>
        </w:rPr>
      </w:pPr>
      <w:r>
        <w:rPr>
          <w:color w:val="000000"/>
          <w:sz w:val="18"/>
        </w:rPr>
        <w:t>[60]</w:t>
      </w:r>
      <w:r>
        <w:rPr>
          <w:color w:val="000000"/>
          <w:sz w:val="18"/>
        </w:rPr>
        <w:tab/>
      </w:r>
      <w:proofErr w:type="spellStart"/>
      <w:r>
        <w:rPr>
          <w:color w:val="000000"/>
          <w:sz w:val="18"/>
        </w:rPr>
        <w:t>Dajaku</w:t>
      </w:r>
      <w:proofErr w:type="spellEnd"/>
      <w:r>
        <w:rPr>
          <w:color w:val="000000"/>
          <w:sz w:val="18"/>
        </w:rPr>
        <w:t xml:space="preserve"> G, </w:t>
      </w:r>
      <w:proofErr w:type="spellStart"/>
      <w:r>
        <w:rPr>
          <w:color w:val="000000"/>
          <w:sz w:val="18"/>
        </w:rPr>
        <w:t>Gerling</w:t>
      </w:r>
      <w:proofErr w:type="spellEnd"/>
      <w:r>
        <w:rPr>
          <w:color w:val="000000"/>
          <w:sz w:val="18"/>
        </w:rPr>
        <w:t xml:space="preserve"> D. Magnetic radial force density of the PM machine with 12-teeth/10-poles winding topology[C]//IEEE International Electric Machines and Drives Conference, Miami, FL, 2009: 1715-1720.</w:t>
      </w:r>
    </w:p>
    <w:p w:rsidR="00054332" w:rsidRDefault="00054332" w:rsidP="00054332">
      <w:pPr>
        <w:ind w:left="448" w:hanging="448"/>
        <w:rPr>
          <w:color w:val="000000"/>
          <w:sz w:val="18"/>
        </w:rPr>
      </w:pPr>
      <w:r>
        <w:rPr>
          <w:color w:val="000000"/>
          <w:sz w:val="18"/>
        </w:rPr>
        <w:t>[61]</w:t>
      </w:r>
      <w:r>
        <w:rPr>
          <w:color w:val="000000"/>
          <w:sz w:val="18"/>
        </w:rPr>
        <w:tab/>
        <w:t>Xia X P, Zhu Z Q, Wu L J, et al. Comparison of radial vibration forces in 10-pole/12-slot fractional slot surface-mounted and interior PM brushless AC machines[C]//International Conference on Electrical Machines, Rome, 2010: 1-6.</w:t>
      </w:r>
    </w:p>
    <w:p w:rsidR="00054332" w:rsidRDefault="00054332" w:rsidP="00054332">
      <w:pPr>
        <w:ind w:left="448" w:hanging="448"/>
        <w:rPr>
          <w:color w:val="000000"/>
          <w:sz w:val="18"/>
        </w:rPr>
      </w:pPr>
      <w:r>
        <w:rPr>
          <w:color w:val="000000"/>
          <w:sz w:val="18"/>
        </w:rPr>
        <w:t>[62]</w:t>
      </w:r>
      <w:r>
        <w:rPr>
          <w:color w:val="000000"/>
          <w:sz w:val="18"/>
        </w:rPr>
        <w:tab/>
      </w:r>
      <w:proofErr w:type="spellStart"/>
      <w:r>
        <w:rPr>
          <w:color w:val="000000"/>
          <w:sz w:val="18"/>
        </w:rPr>
        <w:t>Duan</w:t>
      </w:r>
      <w:proofErr w:type="spellEnd"/>
      <w:r>
        <w:rPr>
          <w:color w:val="000000"/>
          <w:sz w:val="18"/>
        </w:rPr>
        <w:t xml:space="preserve"> S, Zhou L, Wang J. Flux weakening mechanism of interior permanent magnet synchronous machines with segmented permanent </w:t>
      </w:r>
      <w:proofErr w:type="gramStart"/>
      <w:r>
        <w:rPr>
          <w:color w:val="000000"/>
          <w:sz w:val="18"/>
        </w:rPr>
        <w:t>magnets[</w:t>
      </w:r>
      <w:proofErr w:type="gramEnd"/>
      <w:r>
        <w:rPr>
          <w:color w:val="000000"/>
          <w:sz w:val="18"/>
        </w:rPr>
        <w:t xml:space="preserve">J]. IEEE </w:t>
      </w:r>
      <w:proofErr w:type="spellStart"/>
      <w:r>
        <w:rPr>
          <w:color w:val="000000"/>
          <w:sz w:val="18"/>
        </w:rPr>
        <w:t>Transa</w:t>
      </w:r>
      <w:proofErr w:type="spellEnd"/>
      <w:r>
        <w:rPr>
          <w:rFonts w:hint="eastAsia"/>
          <w:color w:val="000000"/>
          <w:sz w:val="18"/>
        </w:rPr>
        <w:t xml:space="preserve">- </w:t>
      </w:r>
      <w:proofErr w:type="spellStart"/>
      <w:r>
        <w:rPr>
          <w:color w:val="000000"/>
          <w:sz w:val="18"/>
        </w:rPr>
        <w:t>ctions</w:t>
      </w:r>
      <w:proofErr w:type="spellEnd"/>
      <w:r>
        <w:rPr>
          <w:color w:val="000000"/>
          <w:sz w:val="18"/>
        </w:rPr>
        <w:t xml:space="preserve"> on Apply Superconducting, 2014, 24(3): 1-5.</w:t>
      </w:r>
    </w:p>
    <w:p w:rsidR="00054332" w:rsidRDefault="00054332" w:rsidP="00054332">
      <w:pPr>
        <w:ind w:left="448" w:hanging="448"/>
        <w:rPr>
          <w:color w:val="000000"/>
          <w:sz w:val="18"/>
        </w:rPr>
      </w:pPr>
      <w:r>
        <w:rPr>
          <w:color w:val="000000"/>
          <w:sz w:val="18"/>
        </w:rPr>
        <w:t>[63]</w:t>
      </w:r>
      <w:r>
        <w:rPr>
          <w:color w:val="000000"/>
          <w:sz w:val="18"/>
        </w:rPr>
        <w:tab/>
      </w:r>
      <w:proofErr w:type="spellStart"/>
      <w:r>
        <w:rPr>
          <w:color w:val="000000"/>
          <w:sz w:val="18"/>
        </w:rPr>
        <w:t>Sprooten</w:t>
      </w:r>
      <w:proofErr w:type="spellEnd"/>
      <w:r>
        <w:rPr>
          <w:color w:val="000000"/>
          <w:sz w:val="18"/>
        </w:rPr>
        <w:t xml:space="preserve"> J, </w:t>
      </w:r>
      <w:proofErr w:type="spellStart"/>
      <w:r>
        <w:rPr>
          <w:color w:val="000000"/>
          <w:sz w:val="18"/>
        </w:rPr>
        <w:t>Gyselinck</w:t>
      </w:r>
      <w:proofErr w:type="spellEnd"/>
      <w:r>
        <w:rPr>
          <w:color w:val="000000"/>
          <w:sz w:val="18"/>
        </w:rPr>
        <w:t xml:space="preserve"> J, Maun J C. Local and global effect of a broken bar in induction machines using fundamental electromagnetic laws and finite element simulations[C]//IEEE International Symposium on Diagnostics for Electric Machines, Power Electronics and Drives, </w:t>
      </w:r>
      <w:proofErr w:type="gramStart"/>
      <w:r>
        <w:rPr>
          <w:color w:val="000000"/>
          <w:sz w:val="18"/>
        </w:rPr>
        <w:t>Vienna ,</w:t>
      </w:r>
      <w:proofErr w:type="gramEnd"/>
      <w:r>
        <w:rPr>
          <w:color w:val="000000"/>
          <w:sz w:val="18"/>
        </w:rPr>
        <w:t xml:space="preserve"> 2005: 1-6.</w:t>
      </w:r>
    </w:p>
    <w:p w:rsidR="00054332" w:rsidRDefault="00054332" w:rsidP="00054332">
      <w:pPr>
        <w:ind w:left="448" w:hanging="448"/>
        <w:rPr>
          <w:color w:val="000000"/>
          <w:sz w:val="18"/>
        </w:rPr>
      </w:pPr>
      <w:r>
        <w:rPr>
          <w:color w:val="000000"/>
          <w:sz w:val="18"/>
        </w:rPr>
        <w:t>[64]</w:t>
      </w:r>
      <w:r>
        <w:rPr>
          <w:color w:val="000000"/>
          <w:sz w:val="18"/>
        </w:rPr>
        <w:tab/>
        <w:t xml:space="preserve">Ling Z, Zhou L, </w:t>
      </w:r>
      <w:proofErr w:type="spellStart"/>
      <w:r>
        <w:rPr>
          <w:color w:val="000000"/>
          <w:sz w:val="18"/>
        </w:rPr>
        <w:t>Guo</w:t>
      </w:r>
      <w:proofErr w:type="spellEnd"/>
      <w:r>
        <w:rPr>
          <w:color w:val="000000"/>
          <w:sz w:val="18"/>
        </w:rPr>
        <w:t xml:space="preserve"> S, et al. Equivalent circuit parameters calculation of induction motor by finite element </w:t>
      </w:r>
      <w:proofErr w:type="gramStart"/>
      <w:r>
        <w:rPr>
          <w:color w:val="000000"/>
          <w:sz w:val="18"/>
        </w:rPr>
        <w:t>analysis[</w:t>
      </w:r>
      <w:proofErr w:type="gramEnd"/>
      <w:r>
        <w:rPr>
          <w:color w:val="000000"/>
          <w:sz w:val="18"/>
        </w:rPr>
        <w:t>J]. IEEE Transactions on Magnetics, 2014, 50(2): 833-836.</w:t>
      </w:r>
    </w:p>
    <w:p w:rsidR="00054332" w:rsidRDefault="00054332" w:rsidP="00054332">
      <w:pPr>
        <w:ind w:left="448" w:hanging="448"/>
        <w:rPr>
          <w:color w:val="000000"/>
          <w:sz w:val="18"/>
        </w:rPr>
      </w:pPr>
      <w:r>
        <w:rPr>
          <w:color w:val="000000"/>
          <w:sz w:val="18"/>
        </w:rPr>
        <w:t>[65]</w:t>
      </w:r>
      <w:r>
        <w:rPr>
          <w:color w:val="000000"/>
          <w:sz w:val="18"/>
        </w:rPr>
        <w:tab/>
      </w:r>
      <w:proofErr w:type="spellStart"/>
      <w:r>
        <w:rPr>
          <w:color w:val="000000"/>
          <w:sz w:val="18"/>
        </w:rPr>
        <w:t>Jia</w:t>
      </w:r>
      <w:proofErr w:type="spellEnd"/>
      <w:r>
        <w:rPr>
          <w:color w:val="000000"/>
          <w:sz w:val="18"/>
        </w:rPr>
        <w:t xml:space="preserve"> L. Equivalent circuit parameters calculation of a wound rotor brushless doubly-fed machine based on finite element analysis[C]//IEEE Magnetics Con</w:t>
      </w:r>
      <w:r>
        <w:rPr>
          <w:rFonts w:hint="eastAsia"/>
          <w:color w:val="000000"/>
          <w:sz w:val="18"/>
        </w:rPr>
        <w:t xml:space="preserve">- </w:t>
      </w:r>
      <w:proofErr w:type="spellStart"/>
      <w:r>
        <w:rPr>
          <w:color w:val="000000"/>
          <w:sz w:val="18"/>
        </w:rPr>
        <w:t>ference</w:t>
      </w:r>
      <w:proofErr w:type="spellEnd"/>
      <w:r>
        <w:rPr>
          <w:color w:val="000000"/>
          <w:sz w:val="18"/>
        </w:rPr>
        <w:t xml:space="preserve">, </w:t>
      </w:r>
      <w:proofErr w:type="gramStart"/>
      <w:r>
        <w:rPr>
          <w:color w:val="000000"/>
          <w:sz w:val="18"/>
        </w:rPr>
        <w:t>Beijing ,</w:t>
      </w:r>
      <w:proofErr w:type="gramEnd"/>
      <w:r>
        <w:rPr>
          <w:color w:val="000000"/>
          <w:sz w:val="18"/>
        </w:rPr>
        <w:t xml:space="preserve"> 2015: 1.</w:t>
      </w:r>
    </w:p>
    <w:p w:rsidR="00054332" w:rsidRDefault="00054332" w:rsidP="00054332">
      <w:pPr>
        <w:ind w:left="448" w:hanging="448"/>
        <w:rPr>
          <w:color w:val="000000"/>
          <w:sz w:val="18"/>
        </w:rPr>
      </w:pPr>
      <w:r>
        <w:rPr>
          <w:color w:val="000000"/>
          <w:sz w:val="18"/>
        </w:rPr>
        <w:t>[66]</w:t>
      </w:r>
      <w:r>
        <w:rPr>
          <w:color w:val="000000"/>
          <w:sz w:val="18"/>
        </w:rPr>
        <w:tab/>
      </w:r>
      <w:proofErr w:type="spellStart"/>
      <w:r>
        <w:rPr>
          <w:color w:val="000000"/>
          <w:sz w:val="18"/>
        </w:rPr>
        <w:t>Shirai</w:t>
      </w:r>
      <w:proofErr w:type="spellEnd"/>
      <w:r>
        <w:rPr>
          <w:color w:val="000000"/>
          <w:sz w:val="18"/>
        </w:rPr>
        <w:t xml:space="preserve"> K, </w:t>
      </w:r>
      <w:proofErr w:type="spellStart"/>
      <w:r>
        <w:rPr>
          <w:color w:val="000000"/>
          <w:sz w:val="18"/>
        </w:rPr>
        <w:t>Tokikuni</w:t>
      </w:r>
      <w:proofErr w:type="spellEnd"/>
      <w:r>
        <w:rPr>
          <w:color w:val="000000"/>
          <w:sz w:val="18"/>
        </w:rPr>
        <w:t xml:space="preserve"> Y, </w:t>
      </w:r>
      <w:proofErr w:type="spellStart"/>
      <w:r>
        <w:rPr>
          <w:color w:val="000000"/>
          <w:sz w:val="18"/>
        </w:rPr>
        <w:t>Shima</w:t>
      </w:r>
      <w:proofErr w:type="spellEnd"/>
      <w:r>
        <w:rPr>
          <w:color w:val="000000"/>
          <w:sz w:val="18"/>
        </w:rPr>
        <w:t xml:space="preserve"> K, et al. Causes of increase in the terminal voltage of a permanent-</w:t>
      </w:r>
      <w:r>
        <w:rPr>
          <w:rFonts w:hint="eastAsia"/>
          <w:color w:val="000000"/>
          <w:sz w:val="18"/>
        </w:rPr>
        <w:t xml:space="preserve"> </w:t>
      </w:r>
      <w:r>
        <w:rPr>
          <w:rFonts w:ascii="Times" w:hAnsi="Times"/>
          <w:color w:val="000000"/>
          <w:spacing w:val="2"/>
          <w:sz w:val="18"/>
        </w:rPr>
        <w:t>magnet-assisted salient-pole synchronous machine[C]//</w:t>
      </w:r>
      <w:r>
        <w:rPr>
          <w:rFonts w:ascii="Times" w:hAnsi="Times" w:hint="eastAsia"/>
          <w:color w:val="000000"/>
          <w:spacing w:val="2"/>
          <w:sz w:val="18"/>
        </w:rPr>
        <w:t xml:space="preserve"> </w:t>
      </w:r>
      <w:r>
        <w:rPr>
          <w:color w:val="000000"/>
          <w:sz w:val="18"/>
        </w:rPr>
        <w:t>International Conference on Electrical Machines and Systems, Tokyo, 2009: 1-6.</w:t>
      </w:r>
    </w:p>
    <w:p w:rsidR="00054332" w:rsidRDefault="00054332" w:rsidP="00054332">
      <w:pPr>
        <w:ind w:left="448" w:hanging="448"/>
        <w:rPr>
          <w:color w:val="000000"/>
          <w:sz w:val="18"/>
        </w:rPr>
      </w:pPr>
      <w:r>
        <w:rPr>
          <w:color w:val="000000"/>
          <w:sz w:val="18"/>
        </w:rPr>
        <w:t>[67]</w:t>
      </w:r>
      <w:r>
        <w:rPr>
          <w:color w:val="000000"/>
          <w:sz w:val="18"/>
        </w:rPr>
        <w:tab/>
      </w:r>
      <w:proofErr w:type="spellStart"/>
      <w:r>
        <w:rPr>
          <w:color w:val="000000"/>
          <w:sz w:val="18"/>
        </w:rPr>
        <w:t>Jeong</w:t>
      </w:r>
      <w:proofErr w:type="spellEnd"/>
      <w:r>
        <w:rPr>
          <w:color w:val="000000"/>
          <w:sz w:val="18"/>
        </w:rPr>
        <w:t xml:space="preserve"> I, Kim J, Kim Y, et al. Extended MTPA with </w:t>
      </w:r>
      <w:r>
        <w:rPr>
          <w:color w:val="000000"/>
          <w:sz w:val="18"/>
        </w:rPr>
        <w:lastRenderedPageBreak/>
        <w:t xml:space="preserve">cross coupling inductances for electrically excited synchronous motors[C]//IEEE Energy Conversion </w:t>
      </w:r>
      <w:r>
        <w:rPr>
          <w:color w:val="000000"/>
          <w:spacing w:val="0"/>
          <w:sz w:val="18"/>
        </w:rPr>
        <w:t>Congress and Exposition, Denver, CO, 2013: 867-873.</w:t>
      </w:r>
    </w:p>
    <w:p w:rsidR="00054332" w:rsidRDefault="00054332" w:rsidP="00054332">
      <w:pPr>
        <w:ind w:left="448" w:hanging="448"/>
        <w:rPr>
          <w:color w:val="000000"/>
          <w:sz w:val="18"/>
        </w:rPr>
      </w:pPr>
      <w:r>
        <w:rPr>
          <w:color w:val="000000"/>
          <w:sz w:val="18"/>
        </w:rPr>
        <w:t>[68]</w:t>
      </w:r>
      <w:r>
        <w:rPr>
          <w:color w:val="000000"/>
          <w:sz w:val="18"/>
        </w:rPr>
        <w:tab/>
      </w:r>
      <w:proofErr w:type="spellStart"/>
      <w:r>
        <w:rPr>
          <w:color w:val="000000"/>
          <w:sz w:val="18"/>
        </w:rPr>
        <w:t>Jeong</w:t>
      </w:r>
      <w:proofErr w:type="spellEnd"/>
      <w:r>
        <w:rPr>
          <w:color w:val="000000"/>
          <w:sz w:val="18"/>
        </w:rPr>
        <w:t xml:space="preserve"> I, </w:t>
      </w:r>
      <w:proofErr w:type="spellStart"/>
      <w:r>
        <w:rPr>
          <w:color w:val="000000"/>
          <w:sz w:val="18"/>
        </w:rPr>
        <w:t>Gu</w:t>
      </w:r>
      <w:proofErr w:type="spellEnd"/>
      <w:r>
        <w:rPr>
          <w:color w:val="000000"/>
          <w:sz w:val="18"/>
        </w:rPr>
        <w:t xml:space="preserve"> B G, Kim J, et al. Inductance estimation of electrically excited synchronous motor via polynomial approximations by least square method[J]. IEEE Transactions on Industry Applications, 2015, 51(2): 1526-1537.</w:t>
      </w:r>
    </w:p>
    <w:p w:rsidR="00054332" w:rsidRDefault="00054332" w:rsidP="00054332">
      <w:pPr>
        <w:ind w:left="448" w:hanging="448"/>
        <w:rPr>
          <w:color w:val="000000"/>
          <w:sz w:val="18"/>
        </w:rPr>
      </w:pPr>
      <w:r>
        <w:rPr>
          <w:color w:val="000000"/>
          <w:sz w:val="18"/>
        </w:rPr>
        <w:t>[69]</w:t>
      </w:r>
      <w:r>
        <w:rPr>
          <w:color w:val="000000"/>
          <w:sz w:val="18"/>
        </w:rPr>
        <w:tab/>
        <w:t xml:space="preserve">Li G J, Zhu Z Q, Ma X Y, et al. Comparative study of torque production in conventional and mutually coupled SRMs using frozen </w:t>
      </w:r>
      <w:proofErr w:type="gramStart"/>
      <w:r>
        <w:rPr>
          <w:color w:val="000000"/>
          <w:sz w:val="18"/>
        </w:rPr>
        <w:t>permeability[</w:t>
      </w:r>
      <w:proofErr w:type="gramEnd"/>
      <w:r>
        <w:rPr>
          <w:color w:val="000000"/>
          <w:sz w:val="18"/>
        </w:rPr>
        <w:t xml:space="preserve">J]. IEEE Transactions on Magnetics, 2016, </w:t>
      </w:r>
      <w:r>
        <w:rPr>
          <w:rFonts w:hint="eastAsia"/>
          <w:color w:val="000000"/>
          <w:sz w:val="18"/>
        </w:rPr>
        <w:t>52(6): 8103509</w:t>
      </w:r>
      <w:r>
        <w:rPr>
          <w:color w:val="000000"/>
          <w:sz w:val="18"/>
        </w:rPr>
        <w:t xml:space="preserve">. </w:t>
      </w:r>
    </w:p>
    <w:p w:rsidR="00054332" w:rsidRDefault="00054332" w:rsidP="00054332">
      <w:pPr>
        <w:ind w:left="448" w:hanging="448"/>
        <w:rPr>
          <w:color w:val="000000"/>
          <w:sz w:val="18"/>
        </w:rPr>
      </w:pPr>
      <w:r>
        <w:rPr>
          <w:color w:val="000000"/>
          <w:sz w:val="18"/>
        </w:rPr>
        <w:t>[70]</w:t>
      </w:r>
      <w:r>
        <w:rPr>
          <w:color w:val="000000"/>
          <w:sz w:val="18"/>
        </w:rPr>
        <w:tab/>
        <w:t xml:space="preserve">Hwang H, </w:t>
      </w:r>
      <w:proofErr w:type="spellStart"/>
      <w:r>
        <w:rPr>
          <w:color w:val="000000"/>
          <w:sz w:val="18"/>
        </w:rPr>
        <w:t>Bae</w:t>
      </w:r>
      <w:proofErr w:type="spellEnd"/>
      <w:r>
        <w:rPr>
          <w:color w:val="000000"/>
          <w:sz w:val="18"/>
        </w:rPr>
        <w:t xml:space="preserve"> S, Lee C. Analysis and design of a </w:t>
      </w:r>
      <w:r>
        <w:rPr>
          <w:color w:val="000000"/>
          <w:sz w:val="18"/>
        </w:rPr>
        <w:lastRenderedPageBreak/>
        <w:t xml:space="preserve">hybrid rare-earth-free permanent magnet reluctance </w:t>
      </w:r>
      <w:r>
        <w:rPr>
          <w:color w:val="000000"/>
          <w:spacing w:val="0"/>
          <w:sz w:val="18"/>
        </w:rPr>
        <w:t xml:space="preserve">machine by frozen permeability </w:t>
      </w:r>
      <w:proofErr w:type="gramStart"/>
      <w:r>
        <w:rPr>
          <w:color w:val="000000"/>
          <w:spacing w:val="0"/>
          <w:sz w:val="18"/>
        </w:rPr>
        <w:t>method[</w:t>
      </w:r>
      <w:proofErr w:type="gramEnd"/>
      <w:r>
        <w:rPr>
          <w:color w:val="000000"/>
          <w:spacing w:val="0"/>
          <w:sz w:val="18"/>
        </w:rPr>
        <w:t xml:space="preserve">J]. IEEE </w:t>
      </w:r>
      <w:proofErr w:type="spellStart"/>
      <w:r>
        <w:rPr>
          <w:color w:val="000000"/>
          <w:spacing w:val="0"/>
          <w:sz w:val="18"/>
        </w:rPr>
        <w:t>Transa</w:t>
      </w:r>
      <w:proofErr w:type="spellEnd"/>
      <w:r>
        <w:rPr>
          <w:rFonts w:hint="eastAsia"/>
          <w:color w:val="000000"/>
          <w:spacing w:val="0"/>
          <w:sz w:val="18"/>
        </w:rPr>
        <w:t xml:space="preserve">- </w:t>
      </w:r>
      <w:proofErr w:type="spellStart"/>
      <w:r>
        <w:rPr>
          <w:color w:val="000000"/>
          <w:sz w:val="18"/>
        </w:rPr>
        <w:t>ctions</w:t>
      </w:r>
      <w:proofErr w:type="spellEnd"/>
      <w:r>
        <w:rPr>
          <w:color w:val="000000"/>
          <w:sz w:val="18"/>
        </w:rPr>
        <w:t xml:space="preserve"> on Magnetics, 2016, </w:t>
      </w:r>
      <w:r>
        <w:rPr>
          <w:rFonts w:hint="eastAsia"/>
          <w:color w:val="000000"/>
          <w:sz w:val="18"/>
        </w:rPr>
        <w:t>52(7): 8106304(1-4)</w:t>
      </w:r>
      <w:r>
        <w:rPr>
          <w:color w:val="000000"/>
          <w:sz w:val="18"/>
        </w:rPr>
        <w:t>.</w:t>
      </w:r>
    </w:p>
    <w:p w:rsidR="00054332" w:rsidRDefault="00054332" w:rsidP="00054332">
      <w:pPr>
        <w:rPr>
          <w:rFonts w:eastAsia="黑体"/>
          <w:color w:val="000000"/>
          <w:sz w:val="15"/>
          <w:u w:val="single"/>
        </w:rPr>
      </w:pPr>
      <w:r>
        <w:rPr>
          <w:rFonts w:eastAsia="黑体"/>
          <w:color w:val="000000"/>
          <w:sz w:val="15"/>
          <w:u w:val="single"/>
        </w:rPr>
        <w:t xml:space="preserve">                         </w:t>
      </w:r>
    </w:p>
    <w:p w:rsidR="00054332" w:rsidRDefault="00054332" w:rsidP="00054332">
      <w:pPr>
        <w:rPr>
          <w:b/>
          <w:bCs/>
          <w:color w:val="000000"/>
          <w:sz w:val="15"/>
        </w:rPr>
      </w:pPr>
      <w:r>
        <w:rPr>
          <w:b/>
          <w:bCs/>
          <w:color w:val="000000"/>
          <w:sz w:val="15"/>
        </w:rPr>
        <w:t xml:space="preserve">Note brief </w:t>
      </w:r>
    </w:p>
    <w:p w:rsidR="00054332" w:rsidRDefault="005009E4" w:rsidP="00054332">
      <w:pPr>
        <w:rPr>
          <w:color w:val="000000"/>
          <w:sz w:val="15"/>
        </w:rPr>
      </w:pPr>
      <w:r>
        <w:rPr>
          <w:rFonts w:hint="eastAsia"/>
          <w:color w:val="000000"/>
          <w:sz w:val="15"/>
        </w:rPr>
        <w:t>XXX</w:t>
      </w:r>
      <w:r w:rsidR="00054332">
        <w:rPr>
          <w:color w:val="000000"/>
          <w:sz w:val="15"/>
        </w:rPr>
        <w:t xml:space="preserve">, born in </w:t>
      </w:r>
      <w:r>
        <w:rPr>
          <w:rFonts w:hint="eastAsia"/>
          <w:color w:val="000000"/>
          <w:sz w:val="15"/>
        </w:rPr>
        <w:t>xxx</w:t>
      </w:r>
      <w:r w:rsidR="00054332">
        <w:rPr>
          <w:color w:val="000000"/>
          <w:sz w:val="15"/>
        </w:rPr>
        <w:t>, Fellow IEEE, Fellow IET, PhD, Major research interests include design, control, and applications of brushless permanent magnet machines and drives for applications ranging from automotive to renewable energy.</w:t>
      </w:r>
    </w:p>
    <w:p w:rsidR="00054332" w:rsidRDefault="00054332" w:rsidP="00054332">
      <w:pPr>
        <w:rPr>
          <w:color w:val="000000"/>
          <w:sz w:val="15"/>
        </w:rPr>
      </w:pPr>
      <w:r>
        <w:rPr>
          <w:color w:val="000000"/>
          <w:sz w:val="15"/>
        </w:rPr>
        <w:t xml:space="preserve">E-mail: </w:t>
      </w:r>
      <w:r w:rsidR="005009E4">
        <w:rPr>
          <w:rFonts w:hint="eastAsia"/>
          <w:color w:val="000000"/>
          <w:sz w:val="15"/>
        </w:rPr>
        <w:t xml:space="preserve">   </w:t>
      </w:r>
      <w:r>
        <w:rPr>
          <w:color w:val="000000"/>
          <w:sz w:val="15"/>
        </w:rPr>
        <w:t xml:space="preserve"> (Corresponding author)</w:t>
      </w:r>
    </w:p>
    <w:p w:rsidR="00054332" w:rsidRDefault="005009E4" w:rsidP="00054332">
      <w:pPr>
        <w:rPr>
          <w:color w:val="000000"/>
          <w:sz w:val="15"/>
        </w:rPr>
      </w:pPr>
      <w:r>
        <w:rPr>
          <w:rFonts w:hint="eastAsia"/>
          <w:color w:val="000000"/>
          <w:sz w:val="15"/>
        </w:rPr>
        <w:t>XXX</w:t>
      </w:r>
      <w:r w:rsidR="00054332">
        <w:rPr>
          <w:color w:val="000000"/>
          <w:sz w:val="15"/>
        </w:rPr>
        <w:t xml:space="preserve">, born in </w:t>
      </w:r>
      <w:proofErr w:type="spellStart"/>
      <w:r>
        <w:rPr>
          <w:rFonts w:hint="eastAsia"/>
          <w:color w:val="000000"/>
          <w:sz w:val="15"/>
        </w:rPr>
        <w:t>xxxx</w:t>
      </w:r>
      <w:proofErr w:type="spellEnd"/>
      <w:r w:rsidR="00054332">
        <w:rPr>
          <w:color w:val="000000"/>
          <w:sz w:val="15"/>
        </w:rPr>
        <w:t>, Principal Engineer, Major research interests include permanent magnet electrical machines and applications.</w:t>
      </w:r>
    </w:p>
    <w:p w:rsidR="00054332" w:rsidRDefault="00054332" w:rsidP="00054332">
      <w:pPr>
        <w:rPr>
          <w:color w:val="000000"/>
          <w:spacing w:val="2"/>
          <w:sz w:val="15"/>
        </w:rPr>
      </w:pPr>
      <w:r>
        <w:rPr>
          <w:color w:val="000000"/>
          <w:sz w:val="15"/>
        </w:rPr>
        <w:t xml:space="preserve">E-mail: </w:t>
      </w:r>
      <w:r w:rsidR="005009E4">
        <w:rPr>
          <w:rFonts w:hint="eastAsia"/>
          <w:color w:val="000000"/>
          <w:sz w:val="15"/>
        </w:rPr>
        <w:t xml:space="preserve"> </w:t>
      </w:r>
    </w:p>
    <w:p w:rsidR="00054332" w:rsidRDefault="00054332" w:rsidP="00054332">
      <w:pPr>
        <w:rPr>
          <w:color w:val="000000"/>
          <w:spacing w:val="2"/>
          <w:sz w:val="15"/>
        </w:rPr>
        <w:sectPr w:rsidR="00054332">
          <w:type w:val="continuous"/>
          <w:pgSz w:w="11907" w:h="16160" w:code="9"/>
          <w:pgMar w:top="1474" w:right="1077" w:bottom="851" w:left="1077" w:header="680" w:footer="680" w:gutter="0"/>
          <w:pgNumType w:start="13"/>
          <w:cols w:num="2" w:space="409"/>
          <w:titlePg/>
          <w:docGrid w:type="lines" w:linePitch="312"/>
        </w:sectPr>
      </w:pPr>
    </w:p>
    <w:p w:rsidR="00054332" w:rsidRDefault="00054332" w:rsidP="00054332"/>
    <w:p w:rsidR="00054332" w:rsidRDefault="00054332" w:rsidP="00054332"/>
    <w:p w:rsidR="00054332" w:rsidRDefault="00054332" w:rsidP="00054332"/>
    <w:p w:rsidR="00634524" w:rsidRDefault="00634524"/>
    <w:sectPr w:rsidR="00634524" w:rsidSect="005311D5">
      <w:type w:val="continuous"/>
      <w:pgSz w:w="11907" w:h="16160" w:code="9"/>
      <w:pgMar w:top="1474" w:right="1077" w:bottom="851" w:left="1077" w:header="680" w:footer="68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FF4" w:rsidRDefault="00412FF4" w:rsidP="00054332">
      <w:r>
        <w:separator/>
      </w:r>
    </w:p>
  </w:endnote>
  <w:endnote w:type="continuationSeparator" w:id="0">
    <w:p w:rsidR="00412FF4" w:rsidRDefault="00412FF4" w:rsidP="00054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altName w:val="等线"/>
    <w:panose1 w:val="02010601030101010101"/>
    <w:charset w:val="86"/>
    <w:family w:val="auto"/>
    <w:pitch w:val="variable"/>
    <w:sig w:usb0="00000001" w:usb1="080E0000" w:usb2="00000010" w:usb3="00000000" w:csb0="00040000" w:csb1="00000000"/>
  </w:font>
  <w:font w:name="SimSun">
    <w:altName w:val="Baskerville Old Fac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FF4" w:rsidRDefault="00412FF4" w:rsidP="00054332">
      <w:r>
        <w:separator/>
      </w:r>
    </w:p>
  </w:footnote>
  <w:footnote w:type="continuationSeparator" w:id="0">
    <w:p w:rsidR="00412FF4" w:rsidRDefault="00412FF4" w:rsidP="000543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1D5" w:rsidRDefault="005311D5" w:rsidP="00054332">
    <w:pPr>
      <w:pStyle w:val="a5"/>
      <w:pBdr>
        <w:bottom w:val="none" w:sz="0" w:space="0" w:color="auto"/>
      </w:pBdr>
      <w:tabs>
        <w:tab w:val="clear" w:pos="4153"/>
        <w:tab w:val="clear" w:pos="8306"/>
        <w:tab w:val="center" w:pos="4802"/>
        <w:tab w:val="right" w:pos="9757"/>
      </w:tabs>
      <w:ind w:rightChars="-2" w:right="-4" w:firstLineChars="100" w:firstLine="192"/>
      <w:jc w:val="both"/>
      <w:rPr>
        <w:rStyle w:val="a6"/>
      </w:rPr>
    </w:pPr>
  </w:p>
  <w:p w:rsidR="005311D5" w:rsidRDefault="00263BE5" w:rsidP="00882C3D">
    <w:pPr>
      <w:pStyle w:val="a5"/>
      <w:pBdr>
        <w:bottom w:val="single" w:sz="2" w:space="1" w:color="auto"/>
      </w:pBdr>
      <w:tabs>
        <w:tab w:val="clear" w:pos="4153"/>
        <w:tab w:val="clear" w:pos="8306"/>
        <w:tab w:val="center" w:pos="4802"/>
        <w:tab w:val="right" w:pos="9757"/>
      </w:tabs>
      <w:ind w:rightChars="-2" w:right="-4" w:firstLineChars="100" w:firstLine="192"/>
      <w:jc w:val="both"/>
    </w:pP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t>20</w:t>
    </w:r>
    <w:r>
      <w:rPr>
        <w:rStyle w:val="a6"/>
        <w:rFonts w:hint="eastAsia"/>
      </w:rPr>
      <w:t xml:space="preserve">  </w:t>
    </w:r>
    <w:r>
      <w:rPr>
        <w:rStyle w:val="a6"/>
        <w:rFonts w:hint="eastAsia"/>
      </w:rPr>
      <w:t>年</w:t>
    </w:r>
    <w:r>
      <w:rPr>
        <w:rStyle w:val="a6"/>
        <w:rFonts w:hint="eastAsia"/>
      </w:rPr>
      <w:t xml:space="preserve">  </w:t>
    </w:r>
    <w:r>
      <w:rPr>
        <w:rStyle w:val="a6"/>
        <w:rFonts w:hint="eastAsia"/>
      </w:rPr>
      <w:t>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1D5" w:rsidRDefault="005311D5">
    <w:pPr>
      <w:pStyle w:val="a5"/>
      <w:pBdr>
        <w:bottom w:val="none" w:sz="0" w:space="0" w:color="auto"/>
      </w:pBdr>
      <w:tabs>
        <w:tab w:val="clear" w:pos="4153"/>
        <w:tab w:val="clear" w:pos="8306"/>
        <w:tab w:val="center" w:pos="4816"/>
        <w:tab w:val="right" w:pos="9603"/>
      </w:tabs>
      <w:ind w:right="10"/>
      <w:jc w:val="both"/>
      <w:rPr>
        <w:sz w:val="24"/>
      </w:rPr>
    </w:pPr>
  </w:p>
  <w:p w:rsidR="005311D5" w:rsidRDefault="00F606BC">
    <w:pPr>
      <w:pStyle w:val="a5"/>
      <w:pBdr>
        <w:bottom w:val="single" w:sz="2" w:space="1" w:color="auto"/>
      </w:pBdr>
      <w:tabs>
        <w:tab w:val="clear" w:pos="4153"/>
        <w:tab w:val="clear" w:pos="8306"/>
        <w:tab w:val="center" w:pos="4816"/>
        <w:tab w:val="right" w:pos="9603"/>
      </w:tabs>
      <w:ind w:right="10"/>
    </w:pPr>
    <w:r w:rsidRPr="00C6215D">
      <w:rPr>
        <w:sz w:val="24"/>
        <w:szCs w:val="24"/>
      </w:rPr>
      <w:t>The 9th Frontier Academic Forum of Electrical Engineering (FAFEE202</w:t>
    </w:r>
    <w:r w:rsidRPr="00FE34C1">
      <w:t>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1D5" w:rsidRDefault="00263BE5" w:rsidP="00C6215D">
    <w:pPr>
      <w:jc w:val="center"/>
    </w:pPr>
    <w:r w:rsidRPr="00C6215D">
      <w:rPr>
        <w:rFonts w:hint="eastAsia"/>
        <w:sz w:val="24"/>
      </w:rPr>
      <w:tab/>
    </w:r>
    <w:r w:rsidR="00C6215D" w:rsidRPr="00C6215D">
      <w:rPr>
        <w:sz w:val="24"/>
      </w:rPr>
      <w:t>The 9th Frontier Academic Forum of Electrical Engineering (FAFEE202</w:t>
    </w:r>
    <w:r w:rsidR="00C6215D" w:rsidRPr="00FE34C1">
      <w:t>0)</w:t>
    </w:r>
  </w:p>
  <w:p w:rsidR="005311D5" w:rsidRDefault="00263BE5">
    <w:pPr>
      <w:pStyle w:val="a5"/>
      <w:pBdr>
        <w:bottom w:val="double" w:sz="6" w:space="1" w:color="auto"/>
      </w:pBdr>
      <w:tabs>
        <w:tab w:val="clear" w:pos="4153"/>
        <w:tab w:val="clear" w:pos="8306"/>
        <w:tab w:val="center" w:pos="4816"/>
        <w:tab w:val="right" w:pos="9771"/>
      </w:tabs>
      <w:jc w:val="both"/>
    </w:pPr>
    <w:r>
      <w:rPr>
        <w:rFonts w:hint="eastAsia"/>
      </w:rPr>
      <w:tab/>
    </w:r>
    <w:r>
      <w:rPr>
        <w:rFonts w:hint="eastAsia"/>
      </w:rPr>
      <w:tab/>
      <w:t xml:space="preserve">  </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0579E"/>
    <w:multiLevelType w:val="singleLevel"/>
    <w:tmpl w:val="2050F836"/>
    <w:lvl w:ilvl="0">
      <w:start w:val="1"/>
      <w:numFmt w:val="upperLetter"/>
      <w:pStyle w:val="Head2"/>
      <w:lvlText w:val="%1."/>
      <w:lvlJc w:val="left"/>
      <w:pPr>
        <w:tabs>
          <w:tab w:val="num" w:pos="502"/>
        </w:tabs>
        <w:ind w:left="502" w:hanging="360"/>
      </w:pPr>
      <w:rPr>
        <w:rFonts w:ascii="Times New Roman" w:hAnsi="Times New Roman" w:cs="Times New Roman" w:hint="default"/>
      </w:rPr>
    </w:lvl>
  </w:abstractNum>
  <w:abstractNum w:abstractNumId="1">
    <w:nsid w:val="37660336"/>
    <w:multiLevelType w:val="hybridMultilevel"/>
    <w:tmpl w:val="EA402BE8"/>
    <w:lvl w:ilvl="0" w:tplc="D1FC46B0">
      <w:start w:val="1"/>
      <w:numFmt w:val="bullet"/>
      <w:pStyle w:val="5"/>
      <w:lvlText w:val=""/>
      <w:lvlJc w:val="left"/>
      <w:pPr>
        <w:tabs>
          <w:tab w:val="num" w:pos="648"/>
        </w:tabs>
        <w:ind w:left="64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rPr>
        <w:rFonts w:ascii="Times New Roman" w:hAnsi="Times New Roman" w:cs="Times New Roman"/>
      </w:rPr>
    </w:lvl>
  </w:abstractNum>
  <w:abstractNum w:abstractNumId="3">
    <w:nsid w:val="52CA544A"/>
    <w:multiLevelType w:val="singleLevel"/>
    <w:tmpl w:val="AED6D67E"/>
    <w:lvl w:ilvl="0">
      <w:start w:val="1"/>
      <w:numFmt w:val="decimal"/>
      <w:pStyle w:val="a"/>
      <w:lvlText w:val="[%1]"/>
      <w:lvlJc w:val="left"/>
      <w:pPr>
        <w:tabs>
          <w:tab w:val="num" w:pos="5040"/>
        </w:tabs>
        <w:ind w:left="5040" w:hanging="360"/>
      </w:pPr>
      <w:rPr>
        <w:rFonts w:ascii="Times New Roman" w:hAnsi="Times New Roman" w:cs="Times New Roman" w:hint="default"/>
        <w:b w:val="0"/>
        <w:i w:val="0"/>
        <w:sz w:val="16"/>
        <w:szCs w:val="16"/>
      </w:rPr>
    </w:lvl>
  </w:abstractNum>
  <w:abstractNum w:abstractNumId="4">
    <w:nsid w:val="63B56C01"/>
    <w:multiLevelType w:val="multilevel"/>
    <w:tmpl w:val="7FDA30DE"/>
    <w:lvl w:ilvl="0">
      <w:start w:val="1"/>
      <w:numFmt w:val="decimal"/>
      <w:isLgl/>
      <w:lvlText w:val="%1."/>
      <w:lvlJc w:val="left"/>
      <w:pPr>
        <w:tabs>
          <w:tab w:val="num" w:pos="360"/>
        </w:tabs>
        <w:ind w:left="0" w:firstLine="0"/>
      </w:pPr>
      <w:rPr>
        <w:rFonts w:ascii="Times New Roman" w:hAnsi="Times New Roman" w:hint="default"/>
        <w:b/>
        <w:i w:val="0"/>
      </w:rPr>
    </w:lvl>
    <w:lvl w:ilvl="1">
      <w:start w:val="1"/>
      <w:numFmt w:val="decimal"/>
      <w:isLgl/>
      <w:lvlText w:val="%1.%2"/>
      <w:lvlJc w:val="left"/>
      <w:pPr>
        <w:tabs>
          <w:tab w:val="num" w:pos="720"/>
        </w:tabs>
        <w:ind w:left="0" w:firstLine="0"/>
      </w:pPr>
      <w:rPr>
        <w:rFonts w:ascii="Times New Roman" w:hAnsi="Times New Roman" w:hint="default"/>
        <w:b/>
        <w:i w:val="0"/>
      </w:rPr>
    </w:lvl>
    <w:lvl w:ilvl="2">
      <w:start w:val="1"/>
      <w:numFmt w:val="decimal"/>
      <w:isLgl/>
      <w:lvlText w:val="%1.%2.%3"/>
      <w:lvlJc w:val="left"/>
      <w:pPr>
        <w:tabs>
          <w:tab w:val="num" w:pos="1080"/>
        </w:tabs>
        <w:ind w:left="0" w:firstLine="0"/>
      </w:pPr>
      <w:rPr>
        <w:rFonts w:ascii="Times New Roman" w:hAnsi="Times New Roman" w:hint="default"/>
        <w:b/>
        <w:i w:val="0"/>
      </w:rPr>
    </w:lvl>
    <w:lvl w:ilvl="3">
      <w:start w:val="1"/>
      <w:numFmt w:val="decimal"/>
      <w:lvlRestart w:val="0"/>
      <w:isLgl/>
      <w:lvlText w:val="%1.%2.%3.%4"/>
      <w:lvlJc w:val="left"/>
      <w:pPr>
        <w:tabs>
          <w:tab w:val="num" w:pos="1440"/>
        </w:tabs>
        <w:ind w:left="0" w:firstLine="0"/>
      </w:pPr>
      <w:rPr>
        <w:rFonts w:ascii="Times New Roman" w:hAnsi="Times New Roman" w:hint="default"/>
        <w:b/>
        <w:i w:val="0"/>
      </w:rPr>
    </w:lvl>
    <w:lvl w:ilvl="4">
      <w:start w:val="1"/>
      <w:numFmt w:val="decimal"/>
      <w:lvlRestart w:val="0"/>
      <w:isLgl/>
      <w:lvlText w:val="%1.%2.%3.%4.%5"/>
      <w:lvlJc w:val="left"/>
      <w:pPr>
        <w:tabs>
          <w:tab w:val="num" w:pos="1800"/>
        </w:tabs>
        <w:ind w:left="0" w:firstLine="0"/>
      </w:pPr>
      <w:rPr>
        <w:rFonts w:ascii="Times New Roman" w:hAnsi="Times New Roman" w:hint="default"/>
        <w:b/>
        <w:i w:val="0"/>
      </w:rPr>
    </w:lvl>
    <w:lvl w:ilvl="5">
      <w:start w:val="1"/>
      <w:numFmt w:val="decimal"/>
      <w:lvlRestart w:val="0"/>
      <w:pStyle w:val="6"/>
      <w:isLgl/>
      <w:lvlText w:val="%1.%2.%3.%4.%5.%6"/>
      <w:lvlJc w:val="left"/>
      <w:pPr>
        <w:tabs>
          <w:tab w:val="num" w:pos="2160"/>
        </w:tabs>
        <w:ind w:left="0" w:firstLine="0"/>
      </w:pPr>
      <w:rPr>
        <w:rFonts w:ascii="Times New Roman" w:hAnsi="Times New Roman" w:hint="default"/>
        <w:b/>
        <w:i w:val="0"/>
      </w:rPr>
    </w:lvl>
    <w:lvl w:ilvl="6">
      <w:start w:val="1"/>
      <w:numFmt w:val="decimal"/>
      <w:lvlRestart w:val="0"/>
      <w:pStyle w:val="7"/>
      <w:isLgl/>
      <w:lvlText w:val="%1.%2.%3.%4.%5.%6.%7"/>
      <w:lvlJc w:val="left"/>
      <w:pPr>
        <w:tabs>
          <w:tab w:val="num" w:pos="2520"/>
        </w:tabs>
        <w:ind w:left="0" w:firstLine="0"/>
      </w:pPr>
      <w:rPr>
        <w:rFonts w:ascii="Times New Roman" w:hAnsi="Times New Roman" w:hint="default"/>
        <w:b/>
        <w:i w:val="0"/>
      </w:rPr>
    </w:lvl>
    <w:lvl w:ilvl="7">
      <w:start w:val="1"/>
      <w:numFmt w:val="decimal"/>
      <w:lvlRestart w:val="0"/>
      <w:pStyle w:val="8"/>
      <w:isLgl/>
      <w:lvlText w:val="%1.%2.%3.%4.%5.%6.%7.%8"/>
      <w:lvlJc w:val="left"/>
      <w:pPr>
        <w:tabs>
          <w:tab w:val="num" w:pos="2880"/>
        </w:tabs>
        <w:ind w:left="0" w:firstLine="0"/>
      </w:pPr>
      <w:rPr>
        <w:rFonts w:ascii="Times New Roman" w:hAnsi="Times New Roman" w:hint="default"/>
        <w:b/>
        <w:i w:val="0"/>
      </w:rPr>
    </w:lvl>
    <w:lvl w:ilvl="8">
      <w:start w:val="1"/>
      <w:numFmt w:val="decimal"/>
      <w:lvlRestart w:val="0"/>
      <w:pStyle w:val="9"/>
      <w:isLgl/>
      <w:lvlText w:val="%1.%2.%3.%4.%5.%6.%7.%8.%9"/>
      <w:lvlJc w:val="left"/>
      <w:pPr>
        <w:tabs>
          <w:tab w:val="num" w:pos="2880"/>
        </w:tabs>
        <w:ind w:left="0" w:firstLine="0"/>
      </w:pPr>
      <w:rPr>
        <w:rFonts w:ascii="Times New Roman" w:hAnsi="Times New Roman" w:hint="default"/>
        <w:b/>
        <w:i w:val="0"/>
      </w:rPr>
    </w:lvl>
  </w:abstractNum>
  <w:abstractNum w:abstractNumId="5">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5"/>
  </w:num>
  <w:num w:numId="3">
    <w:abstractNumId w:val="3"/>
  </w:num>
  <w:num w:numId="4">
    <w:abstractNumId w:val="1"/>
  </w:num>
  <w:num w:numId="5">
    <w:abstractNumId w:val="2"/>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4332"/>
    <w:rsid w:val="00054332"/>
    <w:rsid w:val="001F345F"/>
    <w:rsid w:val="00263BE5"/>
    <w:rsid w:val="00412FF4"/>
    <w:rsid w:val="005009E4"/>
    <w:rsid w:val="005311D5"/>
    <w:rsid w:val="00634524"/>
    <w:rsid w:val="00C6215D"/>
    <w:rsid w:val="00F606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4332"/>
    <w:pPr>
      <w:widowControl w:val="0"/>
      <w:jc w:val="both"/>
    </w:pPr>
    <w:rPr>
      <w:rFonts w:ascii="Times New Roman" w:eastAsia="宋体" w:hAnsi="Times New Roman" w:cs="Times New Roman"/>
      <w:spacing w:val="6"/>
      <w:kern w:val="20"/>
      <w:sz w:val="20"/>
      <w:szCs w:val="24"/>
    </w:rPr>
  </w:style>
  <w:style w:type="paragraph" w:styleId="1">
    <w:name w:val="heading 1"/>
    <w:basedOn w:val="a0"/>
    <w:next w:val="a0"/>
    <w:link w:val="1Char"/>
    <w:autoRedefine/>
    <w:qFormat/>
    <w:rsid w:val="00054332"/>
    <w:pPr>
      <w:keepNext/>
      <w:keepLines/>
      <w:tabs>
        <w:tab w:val="center" w:pos="3840"/>
        <w:tab w:val="right" w:pos="8400"/>
      </w:tabs>
      <w:spacing w:afterLines="50"/>
      <w:jc w:val="center"/>
      <w:outlineLvl w:val="0"/>
    </w:pPr>
    <w:rPr>
      <w:rFonts w:eastAsia="黑体"/>
      <w:kern w:val="44"/>
      <w:sz w:val="44"/>
      <w:szCs w:val="20"/>
    </w:rPr>
  </w:style>
  <w:style w:type="paragraph" w:styleId="2">
    <w:name w:val="heading 2"/>
    <w:basedOn w:val="a0"/>
    <w:next w:val="a1"/>
    <w:link w:val="2Char"/>
    <w:autoRedefine/>
    <w:qFormat/>
    <w:rsid w:val="00054332"/>
    <w:pPr>
      <w:keepNext/>
      <w:keepLines/>
      <w:snapToGrid w:val="0"/>
      <w:spacing w:afterLines="20"/>
      <w:jc w:val="center"/>
      <w:outlineLvl w:val="1"/>
    </w:pPr>
    <w:rPr>
      <w:rFonts w:eastAsia="楷体_GB2312"/>
      <w:sz w:val="28"/>
      <w:szCs w:val="20"/>
    </w:rPr>
  </w:style>
  <w:style w:type="paragraph" w:styleId="3">
    <w:name w:val="heading 3"/>
    <w:basedOn w:val="a0"/>
    <w:next w:val="a1"/>
    <w:link w:val="3Char"/>
    <w:autoRedefine/>
    <w:qFormat/>
    <w:rsid w:val="00054332"/>
    <w:pPr>
      <w:keepNext/>
      <w:keepLines/>
      <w:spacing w:before="160" w:after="160"/>
      <w:ind w:left="377" w:hangingChars="149" w:hanging="377"/>
      <w:jc w:val="left"/>
      <w:outlineLvl w:val="2"/>
    </w:pPr>
    <w:rPr>
      <w:rFonts w:eastAsia="黑体"/>
      <w:b/>
      <w:sz w:val="24"/>
      <w:szCs w:val="20"/>
    </w:rPr>
  </w:style>
  <w:style w:type="paragraph" w:styleId="4">
    <w:name w:val="heading 4"/>
    <w:basedOn w:val="a0"/>
    <w:next w:val="a1"/>
    <w:link w:val="4Char"/>
    <w:autoRedefine/>
    <w:qFormat/>
    <w:rsid w:val="00054332"/>
    <w:pPr>
      <w:keepNext/>
      <w:keepLines/>
      <w:ind w:left="503" w:hangingChars="241" w:hanging="503"/>
      <w:jc w:val="left"/>
      <w:outlineLvl w:val="3"/>
    </w:pPr>
    <w:rPr>
      <w:rFonts w:eastAsia="黑体"/>
      <w:b/>
      <w:bCs/>
      <w:szCs w:val="20"/>
    </w:rPr>
  </w:style>
  <w:style w:type="paragraph" w:styleId="50">
    <w:name w:val="heading 5"/>
    <w:basedOn w:val="a0"/>
    <w:next w:val="a1"/>
    <w:link w:val="5Char"/>
    <w:autoRedefine/>
    <w:qFormat/>
    <w:rsid w:val="00054332"/>
    <w:pPr>
      <w:keepNext/>
      <w:keepLines/>
      <w:spacing w:before="160" w:after="160"/>
      <w:jc w:val="center"/>
      <w:outlineLvl w:val="4"/>
    </w:pPr>
    <w:rPr>
      <w:rFonts w:eastAsia="黑体"/>
      <w:szCs w:val="20"/>
    </w:rPr>
  </w:style>
  <w:style w:type="paragraph" w:styleId="6">
    <w:name w:val="heading 6"/>
    <w:basedOn w:val="a0"/>
    <w:next w:val="a1"/>
    <w:link w:val="6Char"/>
    <w:qFormat/>
    <w:rsid w:val="00054332"/>
    <w:pPr>
      <w:keepNext/>
      <w:keepLines/>
      <w:numPr>
        <w:ilvl w:val="5"/>
        <w:numId w:val="1"/>
      </w:numPr>
      <w:spacing w:before="240" w:after="64" w:line="320" w:lineRule="auto"/>
      <w:outlineLvl w:val="5"/>
    </w:pPr>
    <w:rPr>
      <w:rFonts w:ascii="Arial" w:eastAsia="黑体" w:hAnsi="Arial"/>
      <w:b/>
      <w:sz w:val="24"/>
      <w:szCs w:val="20"/>
    </w:rPr>
  </w:style>
  <w:style w:type="paragraph" w:styleId="7">
    <w:name w:val="heading 7"/>
    <w:basedOn w:val="a0"/>
    <w:next w:val="a1"/>
    <w:link w:val="7Char"/>
    <w:qFormat/>
    <w:rsid w:val="00054332"/>
    <w:pPr>
      <w:keepNext/>
      <w:keepLines/>
      <w:numPr>
        <w:ilvl w:val="6"/>
        <w:numId w:val="1"/>
      </w:numPr>
      <w:spacing w:before="240" w:after="64" w:line="320" w:lineRule="auto"/>
      <w:outlineLvl w:val="6"/>
    </w:pPr>
    <w:rPr>
      <w:b/>
      <w:sz w:val="24"/>
      <w:szCs w:val="20"/>
    </w:rPr>
  </w:style>
  <w:style w:type="paragraph" w:styleId="8">
    <w:name w:val="heading 8"/>
    <w:basedOn w:val="a0"/>
    <w:next w:val="a1"/>
    <w:link w:val="8Char"/>
    <w:qFormat/>
    <w:rsid w:val="00054332"/>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0"/>
    <w:next w:val="a1"/>
    <w:link w:val="9Char"/>
    <w:qFormat/>
    <w:rsid w:val="00054332"/>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054332"/>
    <w:rPr>
      <w:rFonts w:ascii="Times New Roman" w:eastAsia="黑体" w:hAnsi="Times New Roman" w:cs="Times New Roman"/>
      <w:spacing w:val="6"/>
      <w:kern w:val="44"/>
      <w:sz w:val="44"/>
      <w:szCs w:val="20"/>
    </w:rPr>
  </w:style>
  <w:style w:type="character" w:customStyle="1" w:styleId="2Char">
    <w:name w:val="标题 2 Char"/>
    <w:basedOn w:val="a2"/>
    <w:link w:val="2"/>
    <w:rsid w:val="00054332"/>
    <w:rPr>
      <w:rFonts w:ascii="Times New Roman" w:eastAsia="楷体_GB2312" w:hAnsi="Times New Roman" w:cs="Times New Roman"/>
      <w:spacing w:val="6"/>
      <w:kern w:val="20"/>
      <w:sz w:val="28"/>
      <w:szCs w:val="20"/>
    </w:rPr>
  </w:style>
  <w:style w:type="character" w:customStyle="1" w:styleId="3Char">
    <w:name w:val="标题 3 Char"/>
    <w:basedOn w:val="a2"/>
    <w:link w:val="3"/>
    <w:rsid w:val="00054332"/>
    <w:rPr>
      <w:rFonts w:ascii="Times New Roman" w:eastAsia="黑体" w:hAnsi="Times New Roman" w:cs="Times New Roman"/>
      <w:b/>
      <w:spacing w:val="6"/>
      <w:kern w:val="20"/>
      <w:sz w:val="24"/>
      <w:szCs w:val="20"/>
    </w:rPr>
  </w:style>
  <w:style w:type="character" w:customStyle="1" w:styleId="4Char">
    <w:name w:val="标题 4 Char"/>
    <w:basedOn w:val="a2"/>
    <w:link w:val="4"/>
    <w:rsid w:val="00054332"/>
    <w:rPr>
      <w:rFonts w:ascii="Times New Roman" w:eastAsia="黑体" w:hAnsi="Times New Roman" w:cs="Times New Roman"/>
      <w:b/>
      <w:bCs/>
      <w:spacing w:val="6"/>
      <w:kern w:val="20"/>
      <w:sz w:val="20"/>
      <w:szCs w:val="20"/>
    </w:rPr>
  </w:style>
  <w:style w:type="character" w:customStyle="1" w:styleId="5Char">
    <w:name w:val="标题 5 Char"/>
    <w:basedOn w:val="a2"/>
    <w:link w:val="50"/>
    <w:rsid w:val="00054332"/>
    <w:rPr>
      <w:rFonts w:ascii="Times New Roman" w:eastAsia="黑体" w:hAnsi="Times New Roman" w:cs="Times New Roman"/>
      <w:spacing w:val="6"/>
      <w:kern w:val="20"/>
      <w:sz w:val="20"/>
      <w:szCs w:val="20"/>
    </w:rPr>
  </w:style>
  <w:style w:type="character" w:customStyle="1" w:styleId="6Char">
    <w:name w:val="标题 6 Char"/>
    <w:basedOn w:val="a2"/>
    <w:link w:val="6"/>
    <w:rsid w:val="00054332"/>
    <w:rPr>
      <w:rFonts w:ascii="Arial" w:eastAsia="黑体" w:hAnsi="Arial" w:cs="Times New Roman"/>
      <w:b/>
      <w:spacing w:val="6"/>
      <w:kern w:val="20"/>
      <w:sz w:val="24"/>
      <w:szCs w:val="20"/>
    </w:rPr>
  </w:style>
  <w:style w:type="character" w:customStyle="1" w:styleId="7Char">
    <w:name w:val="标题 7 Char"/>
    <w:basedOn w:val="a2"/>
    <w:link w:val="7"/>
    <w:rsid w:val="00054332"/>
    <w:rPr>
      <w:rFonts w:ascii="Times New Roman" w:eastAsia="宋体" w:hAnsi="Times New Roman" w:cs="Times New Roman"/>
      <w:b/>
      <w:spacing w:val="6"/>
      <w:kern w:val="20"/>
      <w:sz w:val="24"/>
      <w:szCs w:val="20"/>
    </w:rPr>
  </w:style>
  <w:style w:type="character" w:customStyle="1" w:styleId="8Char">
    <w:name w:val="标题 8 Char"/>
    <w:basedOn w:val="a2"/>
    <w:link w:val="8"/>
    <w:rsid w:val="00054332"/>
    <w:rPr>
      <w:rFonts w:ascii="Arial" w:eastAsia="黑体" w:hAnsi="Arial" w:cs="Times New Roman"/>
      <w:spacing w:val="6"/>
      <w:kern w:val="20"/>
      <w:sz w:val="24"/>
      <w:szCs w:val="20"/>
    </w:rPr>
  </w:style>
  <w:style w:type="character" w:customStyle="1" w:styleId="9Char">
    <w:name w:val="标题 9 Char"/>
    <w:basedOn w:val="a2"/>
    <w:link w:val="9"/>
    <w:rsid w:val="00054332"/>
    <w:rPr>
      <w:rFonts w:ascii="Arial" w:eastAsia="黑体" w:hAnsi="Arial" w:cs="Times New Roman"/>
      <w:spacing w:val="6"/>
      <w:kern w:val="20"/>
      <w:sz w:val="20"/>
      <w:szCs w:val="20"/>
    </w:rPr>
  </w:style>
  <w:style w:type="paragraph" w:styleId="a1">
    <w:name w:val="Normal Indent"/>
    <w:basedOn w:val="a0"/>
    <w:semiHidden/>
    <w:rsid w:val="00054332"/>
    <w:pPr>
      <w:ind w:firstLine="420"/>
    </w:pPr>
    <w:rPr>
      <w:sz w:val="24"/>
      <w:szCs w:val="20"/>
    </w:rPr>
  </w:style>
  <w:style w:type="paragraph" w:styleId="a5">
    <w:name w:val="header"/>
    <w:basedOn w:val="a0"/>
    <w:link w:val="Char"/>
    <w:semiHidden/>
    <w:rsid w:val="000543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semiHidden/>
    <w:rsid w:val="00054332"/>
    <w:rPr>
      <w:rFonts w:ascii="Times New Roman" w:eastAsia="宋体" w:hAnsi="Times New Roman" w:cs="Times New Roman"/>
      <w:spacing w:val="6"/>
      <w:kern w:val="20"/>
      <w:sz w:val="18"/>
      <w:szCs w:val="18"/>
    </w:rPr>
  </w:style>
  <w:style w:type="character" w:styleId="a6">
    <w:name w:val="page number"/>
    <w:basedOn w:val="a2"/>
    <w:semiHidden/>
    <w:rsid w:val="00054332"/>
  </w:style>
  <w:style w:type="paragraph" w:styleId="a7">
    <w:name w:val="footer"/>
    <w:basedOn w:val="a0"/>
    <w:link w:val="Char0"/>
    <w:semiHidden/>
    <w:rsid w:val="00054332"/>
    <w:pPr>
      <w:tabs>
        <w:tab w:val="center" w:pos="4153"/>
        <w:tab w:val="right" w:pos="8306"/>
      </w:tabs>
      <w:snapToGrid w:val="0"/>
      <w:jc w:val="left"/>
    </w:pPr>
    <w:rPr>
      <w:sz w:val="18"/>
      <w:szCs w:val="18"/>
    </w:rPr>
  </w:style>
  <w:style w:type="character" w:customStyle="1" w:styleId="Char0">
    <w:name w:val="页脚 Char"/>
    <w:basedOn w:val="a2"/>
    <w:link w:val="a7"/>
    <w:semiHidden/>
    <w:rsid w:val="00054332"/>
    <w:rPr>
      <w:rFonts w:ascii="Times New Roman" w:eastAsia="宋体" w:hAnsi="Times New Roman" w:cs="Times New Roman"/>
      <w:spacing w:val="6"/>
      <w:kern w:val="20"/>
      <w:sz w:val="18"/>
      <w:szCs w:val="18"/>
    </w:rPr>
  </w:style>
  <w:style w:type="character" w:styleId="a8">
    <w:name w:val="footnote reference"/>
    <w:basedOn w:val="a2"/>
    <w:semiHidden/>
    <w:rsid w:val="00054332"/>
    <w:rPr>
      <w:vertAlign w:val="superscript"/>
    </w:rPr>
  </w:style>
  <w:style w:type="paragraph" w:styleId="a9">
    <w:name w:val="Body Text Indent"/>
    <w:basedOn w:val="a0"/>
    <w:link w:val="Char1"/>
    <w:semiHidden/>
    <w:rsid w:val="00054332"/>
    <w:pPr>
      <w:spacing w:line="440" w:lineRule="exact"/>
      <w:ind w:firstLine="480"/>
    </w:pPr>
    <w:rPr>
      <w:sz w:val="24"/>
      <w:szCs w:val="20"/>
    </w:rPr>
  </w:style>
  <w:style w:type="character" w:customStyle="1" w:styleId="Char1">
    <w:name w:val="正文文本缩进 Char"/>
    <w:basedOn w:val="a2"/>
    <w:link w:val="a9"/>
    <w:semiHidden/>
    <w:rsid w:val="00054332"/>
    <w:rPr>
      <w:rFonts w:ascii="Times New Roman" w:eastAsia="宋体" w:hAnsi="Times New Roman" w:cs="Times New Roman"/>
      <w:spacing w:val="6"/>
      <w:kern w:val="20"/>
      <w:sz w:val="24"/>
      <w:szCs w:val="20"/>
    </w:rPr>
  </w:style>
  <w:style w:type="paragraph" w:styleId="20">
    <w:name w:val="Body Text Indent 2"/>
    <w:basedOn w:val="a0"/>
    <w:link w:val="2Char0"/>
    <w:semiHidden/>
    <w:rsid w:val="00054332"/>
    <w:pPr>
      <w:ind w:firstLine="420"/>
    </w:pPr>
    <w:rPr>
      <w:color w:val="000000"/>
    </w:rPr>
  </w:style>
  <w:style w:type="character" w:customStyle="1" w:styleId="2Char0">
    <w:name w:val="正文文本缩进 2 Char"/>
    <w:basedOn w:val="a2"/>
    <w:link w:val="20"/>
    <w:semiHidden/>
    <w:rsid w:val="00054332"/>
    <w:rPr>
      <w:rFonts w:ascii="Times New Roman" w:eastAsia="宋体" w:hAnsi="Times New Roman" w:cs="Times New Roman"/>
      <w:color w:val="000000"/>
      <w:spacing w:val="6"/>
      <w:kern w:val="20"/>
      <w:sz w:val="20"/>
      <w:szCs w:val="24"/>
    </w:rPr>
  </w:style>
  <w:style w:type="paragraph" w:styleId="30">
    <w:name w:val="Body Text Indent 3"/>
    <w:basedOn w:val="a0"/>
    <w:link w:val="3Char0"/>
    <w:semiHidden/>
    <w:rsid w:val="00054332"/>
    <w:pPr>
      <w:tabs>
        <w:tab w:val="left" w:pos="456"/>
      </w:tabs>
      <w:ind w:leftChars="10" w:left="21" w:firstLineChars="214" w:firstLine="449"/>
    </w:pPr>
    <w:rPr>
      <w:color w:val="000000"/>
    </w:rPr>
  </w:style>
  <w:style w:type="character" w:customStyle="1" w:styleId="3Char0">
    <w:name w:val="正文文本缩进 3 Char"/>
    <w:basedOn w:val="a2"/>
    <w:link w:val="30"/>
    <w:semiHidden/>
    <w:rsid w:val="00054332"/>
    <w:rPr>
      <w:rFonts w:ascii="Times New Roman" w:eastAsia="宋体" w:hAnsi="Times New Roman" w:cs="Times New Roman"/>
      <w:color w:val="000000"/>
      <w:spacing w:val="6"/>
      <w:kern w:val="20"/>
      <w:sz w:val="20"/>
      <w:szCs w:val="24"/>
    </w:rPr>
  </w:style>
  <w:style w:type="paragraph" w:styleId="aa">
    <w:name w:val="Body Text"/>
    <w:basedOn w:val="a0"/>
    <w:link w:val="Char2"/>
    <w:semiHidden/>
    <w:rsid w:val="00054332"/>
    <w:pPr>
      <w:adjustRightInd w:val="0"/>
      <w:snapToGrid w:val="0"/>
      <w:jc w:val="left"/>
      <w:textAlignment w:val="baseline"/>
    </w:pPr>
    <w:rPr>
      <w:kern w:val="0"/>
      <w:sz w:val="17"/>
      <w:szCs w:val="20"/>
    </w:rPr>
  </w:style>
  <w:style w:type="character" w:customStyle="1" w:styleId="Char2">
    <w:name w:val="正文文本 Char"/>
    <w:basedOn w:val="a2"/>
    <w:link w:val="aa"/>
    <w:semiHidden/>
    <w:rsid w:val="00054332"/>
    <w:rPr>
      <w:rFonts w:ascii="Times New Roman" w:eastAsia="宋体" w:hAnsi="Times New Roman" w:cs="Times New Roman"/>
      <w:spacing w:val="6"/>
      <w:kern w:val="0"/>
      <w:sz w:val="17"/>
      <w:szCs w:val="20"/>
    </w:rPr>
  </w:style>
  <w:style w:type="paragraph" w:styleId="21">
    <w:name w:val="Body Text 2"/>
    <w:basedOn w:val="a0"/>
    <w:link w:val="2Char1"/>
    <w:semiHidden/>
    <w:rsid w:val="00054332"/>
    <w:pPr>
      <w:spacing w:after="120" w:line="480" w:lineRule="auto"/>
    </w:pPr>
    <w:rPr>
      <w:szCs w:val="20"/>
    </w:rPr>
  </w:style>
  <w:style w:type="character" w:customStyle="1" w:styleId="2Char1">
    <w:name w:val="正文文本 2 Char"/>
    <w:basedOn w:val="a2"/>
    <w:link w:val="21"/>
    <w:semiHidden/>
    <w:rsid w:val="00054332"/>
    <w:rPr>
      <w:rFonts w:ascii="Times New Roman" w:eastAsia="宋体" w:hAnsi="Times New Roman" w:cs="Times New Roman"/>
      <w:spacing w:val="6"/>
      <w:kern w:val="20"/>
      <w:sz w:val="20"/>
      <w:szCs w:val="20"/>
    </w:rPr>
  </w:style>
  <w:style w:type="paragraph" w:styleId="ab">
    <w:name w:val="Balloon Text"/>
    <w:basedOn w:val="a0"/>
    <w:link w:val="Char3"/>
    <w:semiHidden/>
    <w:rsid w:val="00054332"/>
    <w:pPr>
      <w:adjustRightInd w:val="0"/>
      <w:jc w:val="left"/>
      <w:textAlignment w:val="baseline"/>
    </w:pPr>
    <w:rPr>
      <w:kern w:val="0"/>
      <w:sz w:val="18"/>
      <w:szCs w:val="20"/>
    </w:rPr>
  </w:style>
  <w:style w:type="character" w:customStyle="1" w:styleId="Char3">
    <w:name w:val="批注框文本 Char"/>
    <w:basedOn w:val="a2"/>
    <w:link w:val="ab"/>
    <w:semiHidden/>
    <w:rsid w:val="00054332"/>
    <w:rPr>
      <w:rFonts w:ascii="Times New Roman" w:eastAsia="宋体" w:hAnsi="Times New Roman" w:cs="Times New Roman"/>
      <w:spacing w:val="6"/>
      <w:kern w:val="0"/>
      <w:sz w:val="18"/>
      <w:szCs w:val="20"/>
    </w:rPr>
  </w:style>
  <w:style w:type="paragraph" w:styleId="31">
    <w:name w:val="Body Text 3"/>
    <w:basedOn w:val="a0"/>
    <w:link w:val="3Char1"/>
    <w:semiHidden/>
    <w:rsid w:val="00054332"/>
    <w:pPr>
      <w:spacing w:afterLines="50"/>
    </w:pPr>
    <w:rPr>
      <w:b/>
      <w:caps/>
      <w:color w:val="000000"/>
    </w:rPr>
  </w:style>
  <w:style w:type="character" w:customStyle="1" w:styleId="3Char1">
    <w:name w:val="正文文本 3 Char"/>
    <w:basedOn w:val="a2"/>
    <w:link w:val="31"/>
    <w:semiHidden/>
    <w:rsid w:val="00054332"/>
    <w:rPr>
      <w:rFonts w:ascii="Times New Roman" w:eastAsia="宋体" w:hAnsi="Times New Roman" w:cs="Times New Roman"/>
      <w:b/>
      <w:caps/>
      <w:color w:val="000000"/>
      <w:spacing w:val="6"/>
      <w:kern w:val="20"/>
      <w:sz w:val="20"/>
      <w:szCs w:val="24"/>
    </w:rPr>
  </w:style>
  <w:style w:type="paragraph" w:styleId="ac">
    <w:name w:val="Title"/>
    <w:basedOn w:val="a0"/>
    <w:link w:val="Char4"/>
    <w:qFormat/>
    <w:rsid w:val="00054332"/>
    <w:pPr>
      <w:snapToGrid w:val="0"/>
      <w:spacing w:beforeLines="100"/>
      <w:jc w:val="center"/>
    </w:pPr>
    <w:rPr>
      <w:b/>
      <w:bCs/>
      <w:color w:val="000000"/>
      <w:sz w:val="44"/>
    </w:rPr>
  </w:style>
  <w:style w:type="character" w:customStyle="1" w:styleId="Char4">
    <w:name w:val="标题 Char"/>
    <w:basedOn w:val="a2"/>
    <w:link w:val="ac"/>
    <w:rsid w:val="00054332"/>
    <w:rPr>
      <w:rFonts w:ascii="Times New Roman" w:eastAsia="宋体" w:hAnsi="Times New Roman" w:cs="Times New Roman"/>
      <w:b/>
      <w:bCs/>
      <w:color w:val="000000"/>
      <w:spacing w:val="6"/>
      <w:kern w:val="20"/>
      <w:sz w:val="44"/>
      <w:szCs w:val="24"/>
    </w:rPr>
  </w:style>
  <w:style w:type="paragraph" w:styleId="ad">
    <w:name w:val="Subtitle"/>
    <w:basedOn w:val="a0"/>
    <w:link w:val="Char5"/>
    <w:qFormat/>
    <w:rsid w:val="00054332"/>
    <w:pPr>
      <w:snapToGrid w:val="0"/>
      <w:spacing w:afterLines="100"/>
      <w:jc w:val="center"/>
    </w:pPr>
    <w:rPr>
      <w:b/>
      <w:bCs/>
      <w:color w:val="000000"/>
      <w:sz w:val="44"/>
    </w:rPr>
  </w:style>
  <w:style w:type="character" w:customStyle="1" w:styleId="Char5">
    <w:name w:val="副标题 Char"/>
    <w:basedOn w:val="a2"/>
    <w:link w:val="ad"/>
    <w:rsid w:val="00054332"/>
    <w:rPr>
      <w:rFonts w:ascii="Times New Roman" w:eastAsia="宋体" w:hAnsi="Times New Roman" w:cs="Times New Roman"/>
      <w:b/>
      <w:bCs/>
      <w:color w:val="000000"/>
      <w:spacing w:val="6"/>
      <w:kern w:val="20"/>
      <w:sz w:val="44"/>
      <w:szCs w:val="24"/>
    </w:rPr>
  </w:style>
  <w:style w:type="paragraph" w:customStyle="1" w:styleId="figurecaption">
    <w:name w:val="figure caption"/>
    <w:rsid w:val="00054332"/>
    <w:pPr>
      <w:numPr>
        <w:numId w:val="2"/>
      </w:numPr>
      <w:spacing w:before="80" w:after="200"/>
      <w:jc w:val="center"/>
    </w:pPr>
    <w:rPr>
      <w:rFonts w:ascii="Times New Roman" w:eastAsia="宋体" w:hAnsi="Times New Roman" w:cs="Times New Roman"/>
      <w:kern w:val="0"/>
      <w:sz w:val="16"/>
      <w:szCs w:val="20"/>
      <w:lang w:eastAsia="en-US"/>
    </w:rPr>
  </w:style>
  <w:style w:type="paragraph" w:customStyle="1" w:styleId="ae">
    <w:name w:val="图名"/>
    <w:basedOn w:val="a0"/>
    <w:rsid w:val="00054332"/>
    <w:pPr>
      <w:autoSpaceDE w:val="0"/>
      <w:autoSpaceDN w:val="0"/>
      <w:jc w:val="center"/>
    </w:pPr>
    <w:rPr>
      <w:rFonts w:ascii="Times" w:hAnsi="Times"/>
      <w:bCs/>
      <w:kern w:val="0"/>
      <w:sz w:val="18"/>
      <w:szCs w:val="18"/>
    </w:rPr>
  </w:style>
  <w:style w:type="paragraph" w:customStyle="1" w:styleId="references0">
    <w:name w:val="references"/>
    <w:rsid w:val="00054332"/>
    <w:pPr>
      <w:tabs>
        <w:tab w:val="num" w:pos="5040"/>
      </w:tabs>
      <w:spacing w:after="50" w:line="180" w:lineRule="exact"/>
      <w:ind w:left="5040" w:hanging="360"/>
      <w:jc w:val="both"/>
    </w:pPr>
    <w:rPr>
      <w:rFonts w:ascii="Times New Roman" w:eastAsia="MS Mincho" w:hAnsi="Times New Roman" w:cs="Times New Roman"/>
      <w:noProof/>
      <w:kern w:val="0"/>
      <w:sz w:val="16"/>
      <w:szCs w:val="16"/>
      <w:lang w:eastAsia="en-US"/>
    </w:rPr>
  </w:style>
  <w:style w:type="paragraph" w:customStyle="1" w:styleId="bulletlist">
    <w:name w:val="bullet list"/>
    <w:basedOn w:val="aa"/>
    <w:rsid w:val="00054332"/>
    <w:pPr>
      <w:widowControl/>
      <w:tabs>
        <w:tab w:val="num" w:pos="648"/>
      </w:tabs>
      <w:adjustRightInd/>
      <w:snapToGrid/>
      <w:spacing w:line="228" w:lineRule="auto"/>
      <w:ind w:left="648" w:hanging="360"/>
      <w:jc w:val="both"/>
      <w:textAlignment w:val="auto"/>
    </w:pPr>
    <w:rPr>
      <w:spacing w:val="-1"/>
      <w:sz w:val="20"/>
      <w:lang w:eastAsia="en-US"/>
    </w:rPr>
  </w:style>
  <w:style w:type="paragraph" w:customStyle="1" w:styleId="References">
    <w:name w:val="References"/>
    <w:basedOn w:val="a0"/>
    <w:rsid w:val="00054332"/>
    <w:pPr>
      <w:widowControl/>
      <w:numPr>
        <w:numId w:val="5"/>
      </w:numPr>
    </w:pPr>
    <w:rPr>
      <w:spacing w:val="0"/>
      <w:kern w:val="0"/>
      <w:sz w:val="16"/>
      <w:szCs w:val="16"/>
      <w:lang w:eastAsia="en-US"/>
    </w:rPr>
  </w:style>
  <w:style w:type="paragraph" w:customStyle="1" w:styleId="Head2">
    <w:name w:val="Head 2"/>
    <w:basedOn w:val="2"/>
    <w:rsid w:val="00054332"/>
    <w:pPr>
      <w:keepLines w:val="0"/>
      <w:widowControl/>
      <w:numPr>
        <w:numId w:val="6"/>
      </w:numPr>
      <w:snapToGrid/>
      <w:spacing w:before="120" w:afterLines="0"/>
      <w:jc w:val="both"/>
    </w:pPr>
    <w:rPr>
      <w:rFonts w:eastAsia="Times New Roman"/>
      <w:i/>
      <w:spacing w:val="-8"/>
      <w:kern w:val="0"/>
      <w:sz w:val="20"/>
      <w:lang w:eastAsia="en-US"/>
    </w:rPr>
  </w:style>
  <w:style w:type="paragraph" w:customStyle="1" w:styleId="a">
    <w:name w:val="表头"/>
    <w:basedOn w:val="a0"/>
    <w:rsid w:val="00054332"/>
    <w:pPr>
      <w:numPr>
        <w:numId w:val="3"/>
      </w:numPr>
      <w:tabs>
        <w:tab w:val="clear" w:pos="5040"/>
      </w:tabs>
      <w:ind w:left="0" w:firstLine="0"/>
      <w:jc w:val="center"/>
    </w:pPr>
    <w:rPr>
      <w:rFonts w:eastAsia="Times New Roman"/>
      <w:noProof/>
      <w:sz w:val="18"/>
    </w:rPr>
  </w:style>
  <w:style w:type="paragraph" w:customStyle="1" w:styleId="af">
    <w:name w:val="表字"/>
    <w:basedOn w:val="5"/>
    <w:rsid w:val="00054332"/>
    <w:pPr>
      <w:snapToGrid/>
      <w:spacing w:before="0" w:after="0" w:line="240" w:lineRule="auto"/>
      <w:jc w:val="center"/>
      <w:outlineLvl w:val="9"/>
    </w:pPr>
    <w:rPr>
      <w:rFonts w:eastAsia="Times New Roman"/>
      <w:spacing w:val="6"/>
      <w:sz w:val="15"/>
      <w:szCs w:val="15"/>
    </w:rPr>
  </w:style>
  <w:style w:type="paragraph" w:customStyle="1" w:styleId="5">
    <w:name w:val="标题5"/>
    <w:basedOn w:val="a0"/>
    <w:rsid w:val="00054332"/>
    <w:pPr>
      <w:numPr>
        <w:numId w:val="4"/>
      </w:numPr>
      <w:tabs>
        <w:tab w:val="clear" w:pos="648"/>
      </w:tabs>
      <w:snapToGrid w:val="0"/>
      <w:spacing w:before="50" w:after="50" w:line="245" w:lineRule="auto"/>
      <w:ind w:left="0" w:firstLine="0"/>
      <w:jc w:val="left"/>
      <w:outlineLvl w:val="4"/>
    </w:pPr>
    <w:rPr>
      <w:rFonts w:eastAsia="方正小标宋简体"/>
      <w:spacing w:val="4"/>
      <w:kern w:val="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6.bin"/><Relationship Id="rId21" Type="http://schemas.openxmlformats.org/officeDocument/2006/relationships/image" Target="media/image12.png"/><Relationship Id="rId34" Type="http://schemas.openxmlformats.org/officeDocument/2006/relationships/oleObject" Target="embeddings/oleObject4.bin"/><Relationship Id="rId42" Type="http://schemas.openxmlformats.org/officeDocument/2006/relationships/image" Target="media/image26.wmf"/><Relationship Id="rId47" Type="http://schemas.openxmlformats.org/officeDocument/2006/relationships/oleObject" Target="embeddings/oleObject10.bin"/><Relationship Id="rId50" Type="http://schemas.openxmlformats.org/officeDocument/2006/relationships/image" Target="media/image30.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41.png"/><Relationship Id="rId76" Type="http://schemas.openxmlformats.org/officeDocument/2006/relationships/image" Target="media/image49.png"/><Relationship Id="rId7" Type="http://schemas.openxmlformats.org/officeDocument/2006/relationships/header" Target="header1.xml"/><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oleObject" Target="embeddings/oleObject3.bin"/><Relationship Id="rId37" Type="http://schemas.openxmlformats.org/officeDocument/2006/relationships/image" Target="media/image23.png"/><Relationship Id="rId40" Type="http://schemas.openxmlformats.org/officeDocument/2006/relationships/image" Target="media/image25.wmf"/><Relationship Id="rId45" Type="http://schemas.openxmlformats.org/officeDocument/2006/relationships/oleObject" Target="embeddings/oleObject9.bin"/><Relationship Id="rId53" Type="http://schemas.openxmlformats.org/officeDocument/2006/relationships/image" Target="media/image32.png"/><Relationship Id="rId58" Type="http://schemas.openxmlformats.org/officeDocument/2006/relationships/image" Target="media/image35.wmf"/><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6.bin"/><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png"/><Relationship Id="rId60" Type="http://schemas.openxmlformats.org/officeDocument/2006/relationships/image" Target="media/image36.wmf"/><Relationship Id="rId65" Type="http://schemas.openxmlformats.org/officeDocument/2006/relationships/oleObject" Target="embeddings/oleObject18.bin"/><Relationship Id="rId73" Type="http://schemas.openxmlformats.org/officeDocument/2006/relationships/image" Target="media/image46.png"/><Relationship Id="rId78"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8.bin"/><Relationship Id="rId48" Type="http://schemas.openxmlformats.org/officeDocument/2006/relationships/image" Target="media/image29.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header" Target="header2.xml"/><Relationship Id="rId51" Type="http://schemas.openxmlformats.org/officeDocument/2006/relationships/oleObject" Target="embeddings/oleObject12.bin"/><Relationship Id="rId72" Type="http://schemas.openxmlformats.org/officeDocument/2006/relationships/image" Target="media/image45.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5.bin"/><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oleObject" Target="embeddings/oleObject7.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7685</Words>
  <Characters>43807</Characters>
  <Application>Microsoft Office Word</Application>
  <DocSecurity>0</DocSecurity>
  <Lines>365</Lines>
  <Paragraphs>102</Paragraphs>
  <ScaleCrop>false</ScaleCrop>
  <Company/>
  <LinksUpToDate>false</LinksUpToDate>
  <CharactersWithSpaces>51390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2017-11-30T09:03:00Z</dcterms:created>
  <dcterms:modified xsi:type="dcterms:W3CDTF">2020-05-06T08:39:00Z</dcterms:modified>
</cp:coreProperties>
</file>